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2026-10-05</w:t>
      </w:r>
    </w:p>
    <w:p>
      <w:r>
        <w:rPr>
          <w:sz w:val="22"/>
          <w:szCs w:val="22"/>
        </w:rPr>
        <w:t xml:space="preserve">463 règles de gestion · 16 domaines · 338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 chaque valeur entre </w:t>
            </w:r>
            <w:r>
              <w:rPr>
                <w:b/>
                <w:bCs/>
              </w:rPr>
              <w:t xml:space="preserve">20 et 400 mmHg</w:t>
            </w:r>
            <w:r>
              <w:t xml:space="preserve">,
systolique ≥ diastolique.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porte : code, libellé, unité (tous trois obligatoires), seuil d'alerte, stock courant, PMP
courant, indicateur « géré par lot »
et « actif », et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qui alimente les listes de
prescription (voir RG-MED).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quantité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2026-10-05T10:14:18.993Z</dcterms:created>
  <dcterms:modified xsi:type="dcterms:W3CDTF">2026-10-05T10:14:18.993Z</dcterms:modified>
</cp:coreProperties>
</file>

<file path=docProps/custom.xml><?xml version="1.0" encoding="utf-8"?>
<Properties xmlns="http://schemas.openxmlformats.org/officeDocument/2006/custom-properties" xmlns:vt="http://schemas.openxmlformats.org/officeDocument/2006/docPropsVTypes"/>
</file>