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2026-10-04</w:t>
      </w:r>
    </w:p>
    <w:p>
      <w:r>
        <w:rPr>
          <w:sz w:val="22"/>
          <w:szCs w:val="22"/>
        </w:rPr>
        <w:t xml:space="preserve">458 règles de gestion · 16 domaines · 333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La perte n'est alors plus comptabilisée.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(strictement positive) annule la sortie existante et en recrée
une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Ajout d'un consommable à une séance déjà validée</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 seule la ligne ajoutée sort du stock (FEFO, article actif, quantité strictement
positive) sans retraiter les consommables existants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ou non validée.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2026-10-04T18:35:30.838Z</dcterms:created>
  <dcterms:modified xsi:type="dcterms:W3CDTF">2026-10-04T18:35:30.838Z</dcterms:modified>
</cp:coreProperties>
</file>

<file path=docProps/custom.xml><?xml version="1.0" encoding="utf-8"?>
<Properties xmlns="http://schemas.openxmlformats.org/officeDocument/2006/custom-properties" xmlns:vt="http://schemas.openxmlformats.org/officeDocument/2006/docPropsVTypes"/>
</file>