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mbria" w:cs="Cambria" w:eastAsia="Cambria" w:hAnsi="Cambria"/>
          <w:b/>
          <w:bCs/>
          <w:color w:val="14766E"/>
          <w:sz w:val="40"/>
          <w:szCs w:val="40"/>
        </w:rPr>
        <w:t xml:space="preserve">HemoDialyse</w:t>
      </w:r>
    </w:p>
    <w:p>
      <w:pPr>
        <w:spacing w:after="240"/>
      </w:pPr>
      <w:r>
        <w:rPr>
          <w:rFonts w:ascii="Cambria" w:cs="Cambria" w:eastAsia="Cambria" w:hAnsi="Cambria"/>
          <w:b/>
          <w:bCs/>
          <w:color w:val="0D5750"/>
          <w:sz w:val="68"/>
          <w:szCs w:val="68"/>
        </w:rPr>
        <w:t xml:space="preserve">Documentation fonctionnelle</w:t>
      </w:r>
    </w:p>
    <w:p>
      <w:pPr>
        <w:spacing w:after="600"/>
      </w:pPr>
      <w:r>
        <w:rPr>
          <w:color w:val="5B6B75"/>
          <w:sz w:val="28"/>
          <w:szCs w:val="28"/>
        </w:rPr>
        <w:t xml:space="preserve">Plateforme de gestion multi-centres pour l'hémodialyse : patients, dossier médical, séances, stock, facturation et préparation à la greffe rénale.</w:t>
      </w:r>
    </w:p>
    <w:p>
      <w:r>
        <w:rPr>
          <w:color w:val="5B6B75"/>
          <w:sz w:val="22"/>
          <w:szCs w:val="22"/>
        </w:rPr>
        <w:t xml:space="preserve">Version du document : 1.0</w:t>
      </w:r>
    </w:p>
    <w:p>
      <w:r>
        <w:rPr>
          <w:color w:val="5B6B75"/>
          <w:sz w:val="22"/>
          <w:szCs w:val="22"/>
        </w:rPr>
        <w:t xml:space="preserve">Septembre 2026</w:t>
      </w:r>
    </w:p>
    <w:p>
      <w:r>
        <w:rPr>
          <w:color w:val="5B6B75"/>
          <w:sz w:val="22"/>
          <w:szCs w:val="22"/>
        </w:rPr>
        <w:t xml:space="preserve">Destinataires : direction, médecins, équipes soignantes et administratives</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ageBreakBefore/>
        <w:spacing w:after="40" w:before="0"/>
      </w:pPr>
      <w:r>
        <w:rPr>
          <w:b/>
          <w:bCs/>
          <w:color w:val="14766E"/>
          <w:spacing w:val="40"/>
          <w:sz w:val="18"/>
          <w:szCs w:val="18"/>
        </w:rPr>
        <w:t xml:space="preserve">CHAPITRE 1</w:t>
      </w:r>
    </w:p>
    <w:p>
      <w:pPr>
        <w:pStyle w:val="Heading1"/>
      </w:pPr>
      <w:r>
        <w:t xml:space="preserve">Présentation générale</w:t>
      </w:r>
    </w:p>
    <w:p>
      <w:pPr>
        <w:spacing w:after="200"/>
      </w:pPr>
      <w:r>
        <w:rPr>
          <w:i/>
          <w:iCs/>
          <w:color w:val="5B6B75"/>
          <w:sz w:val="24"/>
          <w:szCs w:val="24"/>
        </w:rPr>
        <w:t xml:space="preserve">Une seule plateforme pour piloter l'activité de dialyse de plusieurs centres.</w:t>
      </w:r>
    </w:p>
    <w:p>
      <w:pPr>
        <w:spacing w:after="100"/>
      </w:pPr>
      <w:r>
        <w:rPr>
          <w:rFonts w:ascii="Calibri" w:cs="Calibri" w:eastAsia="Calibri" w:hAnsi="Calibri"/>
          <w:sz w:val="22"/>
          <w:szCs w:val="22"/>
        </w:rPr>
        <w:t xml:space="preserve">HemoDialyse couvre le parcours complet d'un patient hémodialysé, de son admission administrative au suivi médical de chaque séance, jusqu'à la facturation et à la préparation d'une éventuelle greffe rénale. Elle s'adresse à plusieurs centres d'hémodialyse : chaque donnée appartient à un centre, et un utilisateur ne voit que les données du centre sur lequel il est connecté.</w:t>
      </w:r>
    </w:p>
    <w:p>
      <w:pPr>
        <w:pStyle w:val="Heading2"/>
      </w:pPr>
      <w:r>
        <w:rPr>
          <w:rFonts w:ascii="Calibri" w:cs="Calibri" w:eastAsia="Calibri" w:hAnsi="Calibri"/>
        </w:rPr>
        <w:t xml:space="preserve">Les modules</w:t>
      </w:r>
    </w:p>
    <w:p>
      <w:pPr>
        <w:keepNext/>
        <w:spacing w:after="40" w:before="120"/>
      </w:pPr>
      <w:r>
        <w:rPr>
          <w:rFonts w:ascii="Calibri" w:cs="Calibri" w:eastAsia="Calibri" w:hAnsi="Calibri"/>
          <w:b/>
          <w:bCs/>
          <w:color w:val="0D5750"/>
          <w:sz w:val="24"/>
          <w:szCs w:val="24"/>
        </w:rPr>
        <w:t xml:space="preserve">Patients</w:t>
      </w:r>
    </w:p>
    <w:p>
      <w:pPr>
        <w:spacing w:after="100"/>
      </w:pPr>
      <w:r>
        <w:rPr>
          <w:rFonts w:ascii="Calibri" w:cs="Calibri" w:eastAsia="Calibri" w:hAnsi="Calibri"/>
          <w:sz w:val="22"/>
          <w:szCs w:val="22"/>
        </w:rPr>
        <w:t xml:space="preserve">Dossier administratif, admissions, prises en charge (PEC), attestations, cartes QR, statistiques individuelles.</w:t>
      </w:r>
    </w:p>
    <w:p>
      <w:pPr>
        <w:keepNext/>
        <w:spacing w:after="40" w:before="120"/>
      </w:pPr>
      <w:r>
        <w:rPr>
          <w:rFonts w:ascii="Calibri" w:cs="Calibri" w:eastAsia="Calibri" w:hAnsi="Calibri"/>
          <w:b/>
          <w:bCs/>
          <w:color w:val="0D5750"/>
          <w:sz w:val="24"/>
          <w:szCs w:val="24"/>
        </w:rPr>
        <w:t xml:space="preserve">Dossier médical</w:t>
      </w:r>
    </w:p>
    <w:p>
      <w:pPr>
        <w:spacing w:after="100"/>
      </w:pPr>
      <w:r>
        <w:rPr>
          <w:rFonts w:ascii="Calibri" w:cs="Calibri" w:eastAsia="Calibri" w:hAnsi="Calibri"/>
          <w:sz w:val="22"/>
          <w:szCs w:val="22"/>
        </w:rPr>
        <w:t xml:space="preserve">Antécédents, sérologies, examens, abords vasculaires, prescriptions, biologie, anémie, constantes, ordonnances, greffe.</w:t>
      </w:r>
    </w:p>
    <w:p>
      <w:pPr>
        <w:keepNext/>
        <w:spacing w:after="40" w:before="120"/>
      </w:pPr>
      <w:r>
        <w:rPr>
          <w:rFonts w:ascii="Calibri" w:cs="Calibri" w:eastAsia="Calibri" w:hAnsi="Calibri"/>
          <w:b/>
          <w:bCs/>
          <w:color w:val="0D5750"/>
          <w:sz w:val="24"/>
          <w:szCs w:val="24"/>
        </w:rPr>
        <w:t xml:space="preserve">Séances</w:t>
      </w:r>
    </w:p>
    <w:p>
      <w:pPr>
        <w:spacing w:after="100"/>
      </w:pPr>
      <w:r>
        <w:rPr>
          <w:rFonts w:ascii="Calibri" w:cs="Calibri" w:eastAsia="Calibri" w:hAnsi="Calibri"/>
          <w:sz w:val="22"/>
          <w:szCs w:val="22"/>
        </w:rPr>
        <w:t xml:space="preserve">Tableau de bord d'activité, calendrier du centre, saisie paramédicale, consommables, administrations EPO / Fer.</w:t>
      </w:r>
    </w:p>
    <w:p>
      <w:pPr>
        <w:keepNext/>
        <w:spacing w:after="40" w:before="120"/>
      </w:pPr>
      <w:r>
        <w:rPr>
          <w:rFonts w:ascii="Calibri" w:cs="Calibri" w:eastAsia="Calibri" w:hAnsi="Calibri"/>
          <w:b/>
          <w:bCs/>
          <w:color w:val="0D5750"/>
          <w:sz w:val="24"/>
          <w:szCs w:val="24"/>
        </w:rPr>
        <w:t xml:space="preserve">Stock</w:t>
      </w:r>
    </w:p>
    <w:p>
      <w:pPr>
        <w:spacing w:after="100"/>
      </w:pPr>
      <w:r>
        <w:rPr>
          <w:rFonts w:ascii="Calibri" w:cs="Calibri" w:eastAsia="Calibri" w:hAnsi="Calibri"/>
          <w:sz w:val="22"/>
          <w:szCs w:val="22"/>
        </w:rPr>
        <w:t xml:space="preserve">Articles gérés par lots, bons de commande / réception / sortie, valorisation au PMP, traçabilité lot → patient → séance.</w:t>
      </w:r>
    </w:p>
    <w:p>
      <w:pPr>
        <w:keepNext/>
        <w:spacing w:after="40" w:before="120"/>
      </w:pPr>
      <w:r>
        <w:rPr>
          <w:rFonts w:ascii="Calibri" w:cs="Calibri" w:eastAsia="Calibri" w:hAnsi="Calibri"/>
          <w:b/>
          <w:bCs/>
          <w:color w:val="0D5750"/>
          <w:sz w:val="24"/>
          <w:szCs w:val="24"/>
        </w:rPr>
        <w:t xml:space="preserve">Facturation &amp; règlements</w:t>
      </w:r>
    </w:p>
    <w:p>
      <w:pPr>
        <w:spacing w:after="100"/>
      </w:pPr>
      <w:r>
        <w:rPr>
          <w:rFonts w:ascii="Calibri" w:cs="Calibri" w:eastAsia="Calibri" w:hAnsi="Calibri"/>
          <w:sz w:val="22"/>
          <w:szCs w:val="22"/>
        </w:rPr>
        <w:t xml:space="preserve">Facturation mensuelle des séances (HT / TVA / TTC), suivi des règlements, journal comptable SCF.</w:t>
      </w:r>
    </w:p>
    <w:p>
      <w:pPr>
        <w:keepNext/>
        <w:spacing w:after="40" w:before="120"/>
      </w:pPr>
      <w:r>
        <w:rPr>
          <w:rFonts w:ascii="Calibri" w:cs="Calibri" w:eastAsia="Calibri" w:hAnsi="Calibri"/>
          <w:b/>
          <w:bCs/>
          <w:color w:val="0D5750"/>
          <w:sz w:val="24"/>
          <w:szCs w:val="24"/>
        </w:rPr>
        <w:t xml:space="preserve">Administration</w:t>
      </w:r>
    </w:p>
    <w:p>
      <w:pPr>
        <w:spacing w:after="100"/>
      </w:pPr>
      <w:r>
        <w:rPr>
          <w:rFonts w:ascii="Calibri" w:cs="Calibri" w:eastAsia="Calibri" w:hAnsi="Calibri"/>
          <w:sz w:val="22"/>
          <w:szCs w:val="22"/>
        </w:rPr>
        <w:t xml:space="preserve">Utilisateurs, rôles et permissions, calendrier clinique, paramétrage de la facturation et de la TVA, modèles de documents.</w:t>
      </w:r>
    </w:p>
    <w:p>
      <w:pPr>
        <w:pStyle w:val="Heading2"/>
      </w:pPr>
      <w:r>
        <w:rPr>
          <w:rFonts w:ascii="Calibri" w:cs="Calibri" w:eastAsia="Calibri" w:hAnsi="Calibri"/>
        </w:rPr>
        <w:t xml:space="preserve">Profils utilisateurs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54"/>
        <w:gridCol w:w="7946"/>
      </w:tblGrid>
      <w:tr>
        <w:trPr>
          <w:tblHeader/>
        </w:trPr>
        <w:tc>
          <w:tcPr>
            <w:tcW w:type="dxa" w:w="1854"/>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Profil</w:t>
            </w:r>
          </w:p>
        </w:tc>
        <w:tc>
          <w:tcPr>
            <w:tcW w:type="dxa" w:w="7946"/>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Usage principal</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Médecin</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Consulte et renseigne le dossier médical, prescrit (dont EPO / Fer), suit l'anémie et prépare la greffe.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Infirmier</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Saisit les paramètres de séance, les consommables et administre les traitements prescrits.</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Secrétariat</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Admissions, prises en charge, attestations, gestion administrative du patient.</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Administrateur</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Utilisateurs, rôles, paramétrage, stock, facturation et supervision du centre.</w:t>
            </w:r>
          </w:p>
        </w:tc>
      </w:tr>
    </w:tbl>
    <w:p>
      <w:pPr>
        <w:spacing w:after="120"/>
      </w:pPr>
    </w:p>
    <w:p>
      <w:pPr>
        <w:spacing w:after="100"/>
      </w:pPr>
      <w:r>
        <w:rPr>
          <w:rFonts w:ascii="Calibri" w:cs="Calibri" w:eastAsia="Calibri" w:hAnsi="Calibri"/>
          <w:sz w:val="22"/>
          <w:szCs w:val="22"/>
        </w:rPr>
        <w:t xml:space="preserve">Les droits sont paramétrables : un même écran peut être en </w:t>
      </w:r>
      <w:r>
        <w:rPr>
          <w:rFonts w:ascii="Calibri" w:cs="Calibri" w:eastAsia="Calibri" w:hAnsi="Calibri"/>
          <w:i/>
          <w:iCs/>
          <w:sz w:val="22"/>
          <w:szCs w:val="22"/>
        </w:rPr>
        <w:t xml:space="preserve">lecture seule</w:t>
      </w:r>
      <w:r>
        <w:rPr>
          <w:rFonts w:ascii="Calibri" w:cs="Calibri" w:eastAsia="Calibri" w:hAnsi="Calibri"/>
          <w:sz w:val="22"/>
          <w:szCs w:val="22"/>
        </w:rPr>
        <w:t xml:space="preserve"> pour un profil (badge « Lecture seule ») et modifiable pour un autre.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C2620A" w:sz="24"/>
              <w:bottom w:val="none"/>
              <w:right w:val="none"/>
            </w:tcBorders>
            <w:shd w:fill="FDF3E8" w:color="auto" w:val="clear"/>
            <w:tcMar>
              <w:top w:type="dxa" w:w="100"/>
              <w:left w:type="dxa" w:w="160"/>
              <w:bottom w:type="dxa" w:w="100"/>
              <w:right w:type="dxa" w:w="160"/>
            </w:tcMar>
          </w:tcPr>
          <w:p>
            <w:r>
              <w:rPr>
                <w:rFonts w:ascii="Calibri" w:cs="Calibri" w:eastAsia="Calibri" w:hAnsi="Calibri"/>
                <w:b/>
                <w:bCs/>
                <w:sz w:val="21"/>
                <w:szCs w:val="21"/>
              </w:rPr>
              <w:t xml:space="preserve">À propos des captures d'écran.</w:t>
            </w:r>
            <w:r>
              <w:rPr>
                <w:rFonts w:ascii="Calibri" w:cs="Calibri" w:eastAsia="Calibri" w:hAnsi="Calibri"/>
                <w:sz w:val="21"/>
                <w:szCs w:val="21"/>
              </w:rPr>
              <w:t xml:space="preserve"> Les images de ce document proviennent d'un environnement de démonstration. Les noms des patients sont fictifs. Les écrans cliniques d'exemple (antécédents, sérologies, examens, abords, ordonnances, anémie, greffe rénale) sont illustrés avec des données de démonstration fictives afin de présenter les fonctionnalités dans un état représentatif d'un usage réel.</w:t>
            </w:r>
          </w:p>
        </w:tc>
      </w:tr>
    </w:tbl>
    <w:p>
      <w:pPr>
        <w:spacing w:after="80"/>
      </w:pPr>
    </w:p>
    <w:p>
      <w:pPr>
        <w:pageBreakBefore/>
        <w:spacing w:after="40" w:before="0"/>
      </w:pPr>
      <w:r>
        <w:rPr>
          <w:b/>
          <w:bCs/>
          <w:color w:val="14766E"/>
          <w:spacing w:val="40"/>
          <w:sz w:val="18"/>
          <w:szCs w:val="18"/>
        </w:rPr>
        <w:t xml:space="preserve">CHAPITRE 2</w:t>
      </w:r>
    </w:p>
    <w:p>
      <w:pPr>
        <w:pStyle w:val="Heading1"/>
      </w:pPr>
      <w:r>
        <w:t xml:space="preserve">Connexion et navigation</w:t>
      </w:r>
    </w:p>
    <w:p>
      <w:pPr>
        <w:spacing w:after="200"/>
      </w:pPr>
      <w:r>
        <w:rPr>
          <w:i/>
          <w:iCs/>
          <w:color w:val="5B6B75"/>
          <w:sz w:val="24"/>
          <w:szCs w:val="24"/>
        </w:rPr>
        <w:t xml:space="preserve">Un accès sécurisé, un centre actif, une navigation identique sur tous les écrans.</w:t>
      </w:r>
    </w:p>
    <w:p>
      <w:pPr>
        <w:pStyle w:val="Heading2"/>
      </w:pPr>
      <w:r>
        <w:rPr>
          <w:rFonts w:ascii="Calibri" w:cs="Calibri" w:eastAsia="Calibri" w:hAnsi="Calibri"/>
        </w:rPr>
        <w:t xml:space="preserve">Structure de l'interface</w:t>
      </w:r>
    </w:p>
    <w:p>
      <w:pPr>
        <w:pStyle w:val="ListParagraph"/>
        <w:numPr>
          <w:ilvl w:val="0"/>
          <w:numId w:val="2"/>
        </w:numPr>
        <w:spacing w:after="40"/>
      </w:pPr>
      <w:r>
        <w:rPr>
          <w:rFonts w:ascii="Calibri" w:cs="Calibri" w:eastAsia="Calibri" w:hAnsi="Calibri"/>
          <w:b/>
          <w:bCs/>
          <w:sz w:val="22"/>
          <w:szCs w:val="22"/>
        </w:rPr>
        <w:t xml:space="preserve">Barre supérieure</w:t>
      </w:r>
      <w:r>
        <w:rPr>
          <w:rFonts w:ascii="Calibri" w:cs="Calibri" w:eastAsia="Calibri" w:hAnsi="Calibri"/>
          <w:sz w:val="22"/>
          <w:szCs w:val="22"/>
        </w:rPr>
        <w:t xml:space="preserve"> : notifications en temps réel, choix de la langue, choix du thème visuel, utilisateur connecté et centre actif.</w:t>
      </w:r>
    </w:p>
    <w:p>
      <w:pPr>
        <w:pStyle w:val="ListParagraph"/>
        <w:numPr>
          <w:ilvl w:val="0"/>
          <w:numId w:val="2"/>
        </w:numPr>
        <w:spacing w:after="40"/>
      </w:pPr>
      <w:r>
        <w:rPr>
          <w:rFonts w:ascii="Calibri" w:cs="Calibri" w:eastAsia="Calibri" w:hAnsi="Calibri"/>
          <w:b/>
          <w:bCs/>
          <w:sz w:val="22"/>
          <w:szCs w:val="22"/>
        </w:rPr>
        <w:t xml:space="preserve">Barre de modules (à gauche)</w:t>
      </w:r>
      <w:r>
        <w:rPr>
          <w:rFonts w:ascii="Calibri" w:cs="Calibri" w:eastAsia="Calibri" w:hAnsi="Calibri"/>
          <w:sz w:val="22"/>
          <w:szCs w:val="22"/>
        </w:rPr>
        <w:t xml:space="preserve"> : Tableau de bord, Patients, Séances, Facturation, Règlement, Stock, Comptabilité, Administration.</w:t>
      </w:r>
    </w:p>
    <w:p>
      <w:pPr>
        <w:pStyle w:val="ListParagraph"/>
        <w:numPr>
          <w:ilvl w:val="0"/>
          <w:numId w:val="2"/>
        </w:numPr>
        <w:spacing w:after="40"/>
      </w:pPr>
      <w:r>
        <w:rPr>
          <w:rFonts w:ascii="Calibri" w:cs="Calibri" w:eastAsia="Calibri" w:hAnsi="Calibri"/>
          <w:b/>
          <w:bCs/>
          <w:sz w:val="22"/>
          <w:szCs w:val="22"/>
        </w:rPr>
        <w:t xml:space="preserve">Barre de sous-menus (en haut)</w:t>
      </w:r>
      <w:r>
        <w:rPr>
          <w:rFonts w:ascii="Calibri" w:cs="Calibri" w:eastAsia="Calibri" w:hAnsi="Calibri"/>
          <w:sz w:val="22"/>
          <w:szCs w:val="22"/>
        </w:rPr>
        <w:t xml:space="preserve"> : les écrans du module sélectionné.</w:t>
      </w:r>
    </w:p>
    <w:p>
      <w:pPr>
        <w:pStyle w:val="ListParagraph"/>
        <w:numPr>
          <w:ilvl w:val="0"/>
          <w:numId w:val="2"/>
        </w:numPr>
        <w:spacing w:after="40"/>
      </w:pPr>
      <w:r>
        <w:rPr>
          <w:rFonts w:ascii="Calibri" w:cs="Calibri" w:eastAsia="Calibri" w:hAnsi="Calibri"/>
          <w:b/>
          <w:bCs/>
          <w:sz w:val="22"/>
          <w:szCs w:val="22"/>
        </w:rPr>
        <w:t xml:space="preserve">Fil d'Ariane</w:t>
      </w:r>
      <w:r>
        <w:rPr>
          <w:rFonts w:ascii="Calibri" w:cs="Calibri" w:eastAsia="Calibri" w:hAnsi="Calibri"/>
          <w:sz w:val="22"/>
          <w:szCs w:val="22"/>
        </w:rPr>
        <w:t xml:space="preserve"> : rappel du chemin et retour rapide.</w:t>
      </w:r>
    </w:p>
    <w:p>
      <w:pPr>
        <w:spacing w:after="40" w:before="80"/>
        <w:jc w:val="center"/>
      </w:pPr>
      <w:r>
        <w:drawing>
          <wp:inline distT="0" distB="0" distL="0" distR="0">
            <wp:extent cx="5715000" cy="3971925"/>
            <wp:effectExtent t="0" r="0" b="0" l="0"/>
            <wp:docPr id="1" name="img/01-dashboard-medecin.png" descr="img/01-dashboard-medecin.png" title="img/01-dashboard-medec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w:t>
      </w:r>
      <w:r>
        <w:rPr>
          <w:rFonts w:ascii="Calibri" w:cs="Calibri" w:eastAsia="Calibri" w:hAnsi="Calibri"/>
          <w:color w:val="5B6B75"/>
          <w:sz w:val="18"/>
          <w:szCs w:val="18"/>
        </w:rPr>
        <w:t xml:space="preserve"> Interface après connexion (profil médecin) : modules à gauche, sous-menus en haut.</w:t>
      </w:r>
    </w:p>
    <w:p>
      <w:pPr>
        <w:pStyle w:val="Heading2"/>
      </w:pPr>
      <w:r>
        <w:rPr>
          <w:rFonts w:ascii="Calibri" w:cs="Calibri" w:eastAsia="Calibri" w:hAnsi="Calibri"/>
        </w:rPr>
        <w:t xml:space="preserve">Langues et thèmes</w:t>
      </w:r>
    </w:p>
    <w:p>
      <w:pPr>
        <w:spacing w:after="100"/>
      </w:pPr>
      <w:r>
        <w:rPr>
          <w:rFonts w:ascii="Calibri" w:cs="Calibri" w:eastAsia="Calibri" w:hAnsi="Calibri"/>
          <w:sz w:val="22"/>
          <w:szCs w:val="22"/>
        </w:rPr>
        <w:t xml:space="preserve">L'application est disponible en </w:t>
      </w:r>
      <w:r>
        <w:rPr>
          <w:rFonts w:ascii="Calibri" w:cs="Calibri" w:eastAsia="Calibri" w:hAnsi="Calibri"/>
          <w:b/>
          <w:bCs/>
          <w:sz w:val="22"/>
          <w:szCs w:val="22"/>
        </w:rPr>
        <w:t xml:space="preserve">français, arabe (affichage de droite à gauche), kabyle et anglais</w:t>
      </w:r>
      <w:r>
        <w:rPr>
          <w:rFonts w:ascii="Calibri" w:cs="Calibri" w:eastAsia="Calibri" w:hAnsi="Calibri"/>
          <w:sz w:val="22"/>
          <w:szCs w:val="22"/>
        </w:rPr>
        <w:t xml:space="preserve">. Le changement de langue est immédiat, sans rechargement. Plusieurs thèmes visuels sont proposés depuis l'icône palette.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82-langue-ar.png" descr="img/82-langue-ar.png" title="img/82-langu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w:t>
            </w:r>
            <w:r>
              <w:rPr>
                <w:rFonts w:ascii="Calibri" w:cs="Calibri" w:eastAsia="Calibri" w:hAnsi="Calibri"/>
                <w:color w:val="5B6B75"/>
                <w:sz w:val="18"/>
                <w:szCs w:val="18"/>
              </w:rPr>
              <w:t xml:space="preserve"> Suivi de l'anémie en arabe, mise en page inversée (RTL).</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83-themes-menu.png" descr="img/83-themes-menu.png" title="img/83-themes-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w:t>
            </w:r>
            <w:r>
              <w:rPr>
                <w:rFonts w:ascii="Calibri" w:cs="Calibri" w:eastAsia="Calibri" w:hAnsi="Calibri"/>
                <w:color w:val="5B6B75"/>
                <w:sz w:val="18"/>
                <w:szCs w:val="18"/>
              </w:rPr>
              <w:t xml:space="preserve"> Sélecteur de thèmes visuels.</w:t>
            </w:r>
          </w:p>
        </w:tc>
      </w:tr>
    </w:tbl>
    <w:p>
      <w:pPr>
        <w:spacing w:after="120"/>
      </w:pPr>
    </w:p>
    <w:p>
      <w:pPr>
        <w:pageBreakBefore/>
        <w:spacing w:after="40" w:before="0"/>
      </w:pPr>
      <w:r>
        <w:rPr>
          <w:b/>
          <w:bCs/>
          <w:color w:val="14766E"/>
          <w:spacing w:val="40"/>
          <w:sz w:val="18"/>
          <w:szCs w:val="18"/>
        </w:rPr>
        <w:t xml:space="preserve">CHAPITRE 3</w:t>
      </w:r>
    </w:p>
    <w:p>
      <w:pPr>
        <w:pStyle w:val="Heading1"/>
      </w:pPr>
      <w:r>
        <w:t xml:space="preserve">Tableau de bord du centre</w:t>
      </w:r>
    </w:p>
    <w:p>
      <w:pPr>
        <w:spacing w:after="200"/>
      </w:pPr>
      <w:r>
        <w:rPr>
          <w:i/>
          <w:iCs/>
          <w:color w:val="5B6B75"/>
          <w:sz w:val="24"/>
          <w:szCs w:val="24"/>
        </w:rPr>
        <w:t xml:space="preserve">L'essentiel de l'activité, dès la connexion.</w:t>
      </w:r>
    </w:p>
    <w:p>
      <w:pPr>
        <w:spacing w:after="100"/>
      </w:pPr>
      <w:r>
        <w:rPr>
          <w:rFonts w:ascii="Calibri" w:cs="Calibri" w:eastAsia="Calibri" w:hAnsi="Calibri"/>
          <w:sz w:val="22"/>
          <w:szCs w:val="22"/>
        </w:rPr>
        <w:t xml:space="preserve">Le tableau de bord présente en un coup d'œil le nombre de patients et de prises en charge du centre, ainsi que les échéances à surveiller : </w:t>
      </w:r>
      <w:r>
        <w:rPr>
          <w:rFonts w:ascii="Calibri" w:cs="Calibri" w:eastAsia="Calibri" w:hAnsi="Calibri"/>
          <w:b/>
          <w:bCs/>
          <w:sz w:val="22"/>
          <w:szCs w:val="22"/>
        </w:rPr>
        <w:t xml:space="preserve">PEC créées / validées</w:t>
      </w:r>
      <w:r>
        <w:rPr>
          <w:rFonts w:ascii="Calibri" w:cs="Calibri" w:eastAsia="Calibri" w:hAnsi="Calibri"/>
          <w:sz w:val="22"/>
          <w:szCs w:val="22"/>
        </w:rPr>
        <w:t xml:space="preserve">, </w:t>
      </w:r>
      <w:r>
        <w:rPr>
          <w:rFonts w:ascii="Calibri" w:cs="Calibri" w:eastAsia="Calibri" w:hAnsi="Calibri"/>
          <w:b/>
          <w:bCs/>
          <w:sz w:val="22"/>
          <w:szCs w:val="22"/>
        </w:rPr>
        <w:t xml:space="preserve">PEC arrivant à expiration</w:t>
      </w:r>
      <w:r>
        <w:rPr>
          <w:rFonts w:ascii="Calibri" w:cs="Calibri" w:eastAsia="Calibri" w:hAnsi="Calibri"/>
          <w:sz w:val="22"/>
          <w:szCs w:val="22"/>
        </w:rPr>
        <w:t xml:space="preserve">, </w:t>
      </w:r>
      <w:r>
        <w:rPr>
          <w:rFonts w:ascii="Calibri" w:cs="Calibri" w:eastAsia="Calibri" w:hAnsi="Calibri"/>
          <w:b/>
          <w:bCs/>
          <w:sz w:val="22"/>
          <w:szCs w:val="22"/>
        </w:rPr>
        <w:t xml:space="preserve">attestations</w:t>
      </w:r>
      <w:r>
        <w:rPr>
          <w:rFonts w:ascii="Calibri" w:cs="Calibri" w:eastAsia="Calibri" w:hAnsi="Calibri"/>
          <w:sz w:val="22"/>
          <w:szCs w:val="22"/>
        </w:rPr>
        <w:t xml:space="preserve"> et attestations expirant dans la fenêtre choisie (30 jours par défaut, modifiable).</w:t>
      </w:r>
    </w:p>
    <w:p>
      <w:pPr>
        <w:spacing w:after="40" w:before="80"/>
        <w:jc w:val="center"/>
      </w:pPr>
      <w:r>
        <w:drawing>
          <wp:inline distT="0" distB="0" distL="0" distR="0">
            <wp:extent cx="5715000" cy="3971925"/>
            <wp:effectExtent t="0" r="0" b="0" l="0"/>
            <wp:docPr id="1" name="img/01-dashboard.png" descr="img/01-dashboard.png" title="img/01-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w:t>
      </w:r>
      <w:r>
        <w:rPr>
          <w:rFonts w:ascii="Calibri" w:cs="Calibri" w:eastAsia="Calibri" w:hAnsi="Calibri"/>
          <w:color w:val="5B6B75"/>
          <w:sz w:val="18"/>
          <w:szCs w:val="18"/>
        </w:rPr>
        <w:t xml:space="preserve"> Tableau de bord : indicateurs administratifs et échéances.</w:t>
      </w:r>
    </w:p>
    <w:p>
      <w:pPr>
        <w:pStyle w:val="ListParagraph"/>
        <w:numPr>
          <w:ilvl w:val="0"/>
          <w:numId w:val="2"/>
        </w:numPr>
        <w:spacing w:after="40"/>
      </w:pPr>
      <w:r>
        <w:rPr>
          <w:rFonts w:ascii="Calibri" w:cs="Calibri" w:eastAsia="Calibri" w:hAnsi="Calibri"/>
          <w:sz w:val="22"/>
          <w:szCs w:val="22"/>
        </w:rPr>
        <w:t xml:space="preserve">Le champ « Échéance (jours) » ajuste la fenêtre d'alerte des PEC et attestations.</w:t>
      </w:r>
    </w:p>
    <w:p>
      <w:pPr>
        <w:pStyle w:val="ListParagraph"/>
        <w:numPr>
          <w:ilvl w:val="0"/>
          <w:numId w:val="2"/>
        </w:numPr>
        <w:spacing w:after="40"/>
      </w:pPr>
      <w:r>
        <w:rPr>
          <w:rFonts w:ascii="Calibri" w:cs="Calibri" w:eastAsia="Calibri" w:hAnsi="Calibri"/>
          <w:sz w:val="22"/>
          <w:szCs w:val="22"/>
        </w:rPr>
        <w:t xml:space="preserve">Les notifications (cloche) remontent en temps réel les événements importants du centre.</w:t>
      </w:r>
    </w:p>
    <w:p>
      <w:pPr>
        <w:pageBreakBefore/>
        <w:spacing w:after="40" w:before="0"/>
      </w:pPr>
      <w:r>
        <w:rPr>
          <w:b/>
          <w:bCs/>
          <w:color w:val="14766E"/>
          <w:spacing w:val="40"/>
          <w:sz w:val="18"/>
          <w:szCs w:val="18"/>
        </w:rPr>
        <w:t xml:space="preserve">CHAPITRE 4</w:t>
      </w:r>
    </w:p>
    <w:p>
      <w:pPr>
        <w:pStyle w:val="Heading1"/>
      </w:pPr>
      <w:r>
        <w:t xml:space="preserve">Gestion des patients</w:t>
      </w:r>
    </w:p>
    <w:p>
      <w:pPr>
        <w:spacing w:after="200"/>
      </w:pPr>
      <w:r>
        <w:rPr>
          <w:i/>
          <w:iCs/>
          <w:color w:val="5B6B75"/>
          <w:sz w:val="24"/>
          <w:szCs w:val="24"/>
        </w:rPr>
        <w:t xml:space="preserve">Du premier accueil au suivi administratif, sans ressaisie.</w:t>
      </w:r>
    </w:p>
    <w:p>
      <w:pPr>
        <w:pStyle w:val="Heading2"/>
      </w:pPr>
      <w:r>
        <w:rPr>
          <w:rFonts w:ascii="Calibri" w:cs="Calibri" w:eastAsia="Calibri" w:hAnsi="Calibri"/>
        </w:rPr>
        <w:t xml:space="preserve">Liste des patients</w:t>
      </w:r>
    </w:p>
    <w:p>
      <w:pPr>
        <w:spacing w:after="100"/>
      </w:pPr>
      <w:r>
        <w:rPr>
          <w:rFonts w:ascii="Calibri" w:cs="Calibri" w:eastAsia="Calibri" w:hAnsi="Calibri"/>
          <w:sz w:val="22"/>
          <w:szCs w:val="22"/>
        </w:rPr>
        <w:t xml:space="preserve">La liste affiche tous les patients du centre avec une synthèse : répartition par sexe, par tranche d'âge et nombre de patients sous KT. Elle est </w:t>
      </w:r>
      <w:r>
        <w:rPr>
          <w:rFonts w:ascii="Calibri" w:cs="Calibri" w:eastAsia="Calibri" w:hAnsi="Calibri"/>
          <w:b/>
          <w:bCs/>
          <w:sz w:val="22"/>
          <w:szCs w:val="22"/>
        </w:rPr>
        <w:t xml:space="preserve">paginée</w:t>
      </w:r>
      <w:r>
        <w:rPr>
          <w:rFonts w:ascii="Calibri" w:cs="Calibri" w:eastAsia="Calibri" w:hAnsi="Calibri"/>
          <w:sz w:val="22"/>
          <w:szCs w:val="22"/>
        </w:rPr>
        <w:t xml:space="preserve">, triable et filtrable colonne par colonne (n° d'assurance, nom, prénom, sexe, admission, état, facturation, jours de dialyse).</w:t>
      </w:r>
    </w:p>
    <w:p>
      <w:pPr>
        <w:spacing w:after="40" w:before="80"/>
        <w:jc w:val="center"/>
      </w:pPr>
      <w:r>
        <w:drawing>
          <wp:inline distT="0" distB="0" distL="0" distR="0">
            <wp:extent cx="5715000" cy="3971925"/>
            <wp:effectExtent t="0" r="0" b="0" l="0"/>
            <wp:docPr id="1" name="img/10-patients.png" descr="img/10-patients.png" title="img/10-pat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5.</w:t>
      </w:r>
      <w:r>
        <w:rPr>
          <w:rFonts w:ascii="Calibri" w:cs="Calibri" w:eastAsia="Calibri" w:hAnsi="Calibri"/>
          <w:color w:val="5B6B75"/>
          <w:sz w:val="18"/>
          <w:szCs w:val="18"/>
        </w:rPr>
        <w:t xml:space="preserve"> Liste des patients avec synthèse du centre.</w:t>
      </w:r>
    </w:p>
    <w:p>
      <w:pPr>
        <w:pStyle w:val="ListParagraph"/>
        <w:numPr>
          <w:ilvl w:val="0"/>
          <w:numId w:val="2"/>
        </w:numPr>
        <w:spacing w:after="40"/>
      </w:pPr>
      <w:r>
        <w:rPr>
          <w:rFonts w:ascii="Calibri" w:cs="Calibri" w:eastAsia="Calibri" w:hAnsi="Calibri"/>
          <w:b/>
          <w:bCs/>
          <w:sz w:val="22"/>
          <w:szCs w:val="22"/>
        </w:rPr>
        <w:t xml:space="preserve">Colonnes</w:t>
      </w:r>
      <w:r>
        <w:rPr>
          <w:rFonts w:ascii="Calibri" w:cs="Calibri" w:eastAsia="Calibri" w:hAnsi="Calibri"/>
          <w:sz w:val="22"/>
          <w:szCs w:val="22"/>
        </w:rPr>
        <w:t xml:space="preserve"> et </w:t>
      </w:r>
      <w:r>
        <w:rPr>
          <w:rFonts w:ascii="Calibri" w:cs="Calibri" w:eastAsia="Calibri" w:hAnsi="Calibri"/>
          <w:b/>
          <w:bCs/>
          <w:sz w:val="22"/>
          <w:szCs w:val="22"/>
        </w:rPr>
        <w:t xml:space="preserve">Vues</w:t>
      </w:r>
      <w:r>
        <w:rPr>
          <w:rFonts w:ascii="Calibri" w:cs="Calibri" w:eastAsia="Calibri" w:hAnsi="Calibri"/>
          <w:sz w:val="22"/>
          <w:szCs w:val="22"/>
        </w:rPr>
        <w:t xml:space="preserve"> : chaque utilisateur choisit et enregistre l'affichage qui lui convient.</w:t>
      </w:r>
    </w:p>
    <w:p>
      <w:pPr>
        <w:pStyle w:val="ListParagraph"/>
        <w:numPr>
          <w:ilvl w:val="0"/>
          <w:numId w:val="2"/>
        </w:numPr>
        <w:spacing w:after="40"/>
      </w:pPr>
      <w:r>
        <w:rPr>
          <w:rFonts w:ascii="Calibri" w:cs="Calibri" w:eastAsia="Calibri" w:hAnsi="Calibri"/>
          <w:b/>
          <w:bCs/>
          <w:sz w:val="22"/>
          <w:szCs w:val="22"/>
        </w:rPr>
        <w:t xml:space="preserve">Export Excel</w:t>
      </w:r>
      <w:r>
        <w:rPr>
          <w:rFonts w:ascii="Calibri" w:cs="Calibri" w:eastAsia="Calibri" w:hAnsi="Calibri"/>
          <w:sz w:val="22"/>
          <w:szCs w:val="22"/>
        </w:rPr>
        <w:t xml:space="preserve"> et </w:t>
      </w:r>
      <w:r>
        <w:rPr>
          <w:rFonts w:ascii="Calibri" w:cs="Calibri" w:eastAsia="Calibri" w:hAnsi="Calibri"/>
          <w:b/>
          <w:bCs/>
          <w:sz w:val="22"/>
          <w:szCs w:val="22"/>
        </w:rPr>
        <w:t xml:space="preserve">rapport imprimable</w:t>
      </w:r>
      <w:r>
        <w:rPr>
          <w:rFonts w:ascii="Calibri" w:cs="Calibri" w:eastAsia="Calibri" w:hAnsi="Calibri"/>
          <w:sz w:val="22"/>
          <w:szCs w:val="22"/>
        </w:rPr>
        <w:t xml:space="preserve"> mensuel de la population du centre.</w:t>
      </w:r>
    </w:p>
    <w:p>
      <w:pPr>
        <w:pStyle w:val="ListParagraph"/>
        <w:numPr>
          <w:ilvl w:val="0"/>
          <w:numId w:val="2"/>
        </w:numPr>
        <w:spacing w:after="40"/>
      </w:pPr>
      <w:r>
        <w:rPr>
          <w:rFonts w:ascii="Calibri" w:cs="Calibri" w:eastAsia="Calibri" w:hAnsi="Calibri"/>
          <w:sz w:val="22"/>
          <w:szCs w:val="22"/>
        </w:rPr>
        <w:t xml:space="preserve">Actions par ligne : aperçu, cahier de dialyse, statistiques, dossier médical, impression, </w:t>
      </w:r>
      <w:r>
        <w:rPr>
          <w:rFonts w:ascii="Calibri" w:cs="Calibri" w:eastAsia="Calibri" w:hAnsi="Calibri"/>
          <w:b/>
          <w:bCs/>
          <w:sz w:val="22"/>
          <w:szCs w:val="22"/>
        </w:rPr>
        <w:t xml:space="preserve">carte QR</w:t>
      </w:r>
      <w:r>
        <w:rPr>
          <w:rFonts w:ascii="Calibri" w:cs="Calibri" w:eastAsia="Calibri" w:hAnsi="Calibri"/>
          <w:sz w:val="22"/>
          <w:szCs w:val="22"/>
        </w:rPr>
        <w:t xml:space="preserve"> du patient.</w:t>
      </w:r>
    </w:p>
    <w:p>
      <w:pPr>
        <w:pStyle w:val="Heading2"/>
      </w:pPr>
      <w:r>
        <w:rPr>
          <w:rFonts w:ascii="Calibri" w:cs="Calibri" w:eastAsia="Calibri" w:hAnsi="Calibri"/>
        </w:rPr>
        <w:t xml:space="preserve">Création d'un patient : assistant en 6 étapes</w:t>
      </w:r>
    </w:p>
    <w:p>
      <w:pPr>
        <w:spacing w:after="100"/>
      </w:pPr>
      <w:r>
        <w:rPr>
          <w:rFonts w:ascii="Calibri" w:cs="Calibri" w:eastAsia="Calibri" w:hAnsi="Calibri"/>
          <w:sz w:val="22"/>
          <w:szCs w:val="22"/>
        </w:rPr>
        <w:t xml:space="preserve">L'ouverture d'un dossier suit un assistant guidé : </w:t>
      </w:r>
      <w:r>
        <w:rPr>
          <w:rFonts w:ascii="Calibri" w:cs="Calibri" w:eastAsia="Calibri" w:hAnsi="Calibri"/>
          <w:b/>
          <w:bCs/>
          <w:sz w:val="22"/>
          <w:szCs w:val="22"/>
        </w:rPr>
        <w:t xml:space="preserve">1 Généralités</w:t>
      </w:r>
      <w:r>
        <w:rPr>
          <w:rFonts w:ascii="Calibri" w:cs="Calibri" w:eastAsia="Calibri" w:hAnsi="Calibri"/>
          <w:sz w:val="22"/>
          <w:szCs w:val="22"/>
        </w:rPr>
        <w:t xml:space="preserve"> </w:t>
      </w:r>
      <w:r>
        <w:rPr>
          <w:rFonts w:ascii="Calibri" w:cs="Calibri" w:eastAsia="Calibri" w:hAnsi="Calibri"/>
          <w:b/>
          <w:bCs/>
          <w:sz w:val="22"/>
          <w:szCs w:val="22"/>
        </w:rPr>
        <w:t xml:space="preserve">2 Assurance</w:t>
      </w:r>
      <w:r>
        <w:rPr>
          <w:rFonts w:ascii="Calibri" w:cs="Calibri" w:eastAsia="Calibri" w:hAnsi="Calibri"/>
          <w:sz w:val="22"/>
          <w:szCs w:val="22"/>
        </w:rPr>
        <w:t xml:space="preserve"> </w:t>
      </w:r>
      <w:r>
        <w:rPr>
          <w:rFonts w:ascii="Calibri" w:cs="Calibri" w:eastAsia="Calibri" w:hAnsi="Calibri"/>
          <w:b/>
          <w:bCs/>
          <w:sz w:val="22"/>
          <w:szCs w:val="22"/>
        </w:rPr>
        <w:t xml:space="preserve">3 Affectation</w:t>
      </w:r>
      <w:r>
        <w:rPr>
          <w:rFonts w:ascii="Calibri" w:cs="Calibri" w:eastAsia="Calibri" w:hAnsi="Calibri"/>
          <w:sz w:val="22"/>
          <w:szCs w:val="22"/>
        </w:rPr>
        <w:t xml:space="preserve"> </w:t>
      </w:r>
      <w:r>
        <w:rPr>
          <w:rFonts w:ascii="Calibri" w:cs="Calibri" w:eastAsia="Calibri" w:hAnsi="Calibri"/>
          <w:b/>
          <w:bCs/>
          <w:sz w:val="22"/>
          <w:szCs w:val="22"/>
        </w:rPr>
        <w:t xml:space="preserve">4 Attestation</w:t>
      </w:r>
      <w:r>
        <w:rPr>
          <w:rFonts w:ascii="Calibri" w:cs="Calibri" w:eastAsia="Calibri" w:hAnsi="Calibri"/>
          <w:sz w:val="22"/>
          <w:szCs w:val="22"/>
        </w:rPr>
        <w:t xml:space="preserve"> </w:t>
      </w:r>
      <w:r>
        <w:rPr>
          <w:rFonts w:ascii="Calibri" w:cs="Calibri" w:eastAsia="Calibri" w:hAnsi="Calibri"/>
          <w:b/>
          <w:bCs/>
          <w:sz w:val="22"/>
          <w:szCs w:val="22"/>
        </w:rPr>
        <w:t xml:space="preserve">5 Prise en charge</w:t>
      </w:r>
      <w:r>
        <w:rPr>
          <w:rFonts w:ascii="Calibri" w:cs="Calibri" w:eastAsia="Calibri" w:hAnsi="Calibri"/>
          <w:sz w:val="22"/>
          <w:szCs w:val="22"/>
        </w:rPr>
        <w:t xml:space="preserve"> </w:t>
      </w:r>
      <w:r>
        <w:rPr>
          <w:rFonts w:ascii="Calibri" w:cs="Calibri" w:eastAsia="Calibri" w:hAnsi="Calibri"/>
          <w:b/>
          <w:bCs/>
          <w:sz w:val="22"/>
          <w:szCs w:val="22"/>
        </w:rPr>
        <w:t xml:space="preserve">6 Pièces jointes</w:t>
      </w:r>
    </w:p>
    <w:p>
      <w:pPr>
        <w:spacing w:after="40" w:before="80"/>
        <w:jc w:val="center"/>
      </w:pPr>
      <w:r>
        <w:drawing>
          <wp:inline distT="0" distB="0" distL="0" distR="0">
            <wp:extent cx="5715000" cy="3971925"/>
            <wp:effectExtent t="0" r="0" b="0" l="0"/>
            <wp:docPr id="1" name="img/11-patient-nouveau.png" descr="img/11-patient-nouveau.png" title="img/11-patient-nouve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6.</w:t>
      </w:r>
      <w:r>
        <w:rPr>
          <w:rFonts w:ascii="Calibri" w:cs="Calibri" w:eastAsia="Calibri" w:hAnsi="Calibri"/>
          <w:color w:val="5B6B75"/>
          <w:sz w:val="18"/>
          <w:szCs w:val="18"/>
        </w:rPr>
        <w:t xml:space="preserve"> Étape 1 – Généralités : identité, état civil, coordonnées, groupe sanguin, photo, indicateurs de démarrage (1ère séance EPO / Fer, patient sous KT).</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11-wizard-3.png" descr="img/11-wizard-3.png" title="img/11-wizar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7.</w:t>
            </w:r>
            <w:r>
              <w:rPr>
                <w:rFonts w:ascii="Calibri" w:cs="Calibri" w:eastAsia="Calibri" w:hAnsi="Calibri"/>
                <w:color w:val="5B6B75"/>
                <w:sz w:val="18"/>
                <w:szCs w:val="18"/>
              </w:rPr>
              <w:t xml:space="preserve"> Étape 3 – Affectation : salle, médecin traitant, position, générateur, transporteurs, jours de dialyse.</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724025"/>
                  <wp:effectExtent t="0" r="0" b="0" l="0"/>
                  <wp:docPr id="1" name="img/11-wizard-5.png" descr="img/11-wizard-5.png" title="img/11-wizard-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1724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8.</w:t>
            </w:r>
            <w:r>
              <w:rPr>
                <w:rFonts w:ascii="Calibri" w:cs="Calibri" w:eastAsia="Calibri" w:hAnsi="Calibri"/>
                <w:color w:val="5B6B75"/>
                <w:sz w:val="18"/>
                <w:szCs w:val="18"/>
              </w:rPr>
              <w:t xml:space="preserve"> Étape 5 – Prise en charge.</w:t>
            </w:r>
          </w:p>
        </w:tc>
      </w:tr>
    </w:tbl>
    <w:p>
      <w:pPr>
        <w:spacing w:after="120"/>
      </w:pPr>
    </w:p>
    <w:p>
      <w:pPr>
        <w:pStyle w:val="Heading2"/>
      </w:pPr>
      <w:r>
        <w:rPr>
          <w:rFonts w:ascii="Calibri" w:cs="Calibri" w:eastAsia="Calibri" w:hAnsi="Calibri"/>
        </w:rPr>
        <w:t xml:space="preserve">Prises en charge (PEC) et attestations</w:t>
      </w:r>
    </w:p>
    <w:p>
      <w:pPr>
        <w:spacing w:after="100"/>
      </w:pPr>
      <w:r>
        <w:rPr>
          <w:rFonts w:ascii="Calibri" w:cs="Calibri" w:eastAsia="Calibri" w:hAnsi="Calibri"/>
          <w:sz w:val="22"/>
          <w:szCs w:val="22"/>
        </w:rPr>
        <w:t xml:space="preserve">Chaque patient dispose de prises en charge datées et d'attestations d'ouverture de droit. Le centre suit leur validité et clôture ou valide les PEC en attente.</w:t>
      </w:r>
    </w:p>
    <w:p>
      <w:pPr>
        <w:spacing w:after="40" w:before="80"/>
        <w:jc w:val="center"/>
      </w:pPr>
      <w:r>
        <w:drawing>
          <wp:inline distT="0" distB="0" distL="0" distR="0">
            <wp:extent cx="5715000" cy="3971925"/>
            <wp:effectExtent t="0" r="0" b="0" l="0"/>
            <wp:docPr id="1" name="img/15-pec-admin.png" descr="img/15-pec-admin.png" title="img/15-pec-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9.</w:t>
      </w:r>
      <w:r>
        <w:rPr>
          <w:rFonts w:ascii="Calibri" w:cs="Calibri" w:eastAsia="Calibri" w:hAnsi="Calibri"/>
          <w:color w:val="5B6B75"/>
          <w:sz w:val="18"/>
          <w:szCs w:val="18"/>
        </w:rPr>
        <w:t xml:space="preserve"> Validation et clôture des prises en charge.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13-pec-list.png" descr="img/13-pec-list.png" title="img/13-pec-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10.</w:t>
            </w:r>
            <w:r>
              <w:rPr>
                <w:rFonts w:ascii="Calibri" w:cs="Calibri" w:eastAsia="Calibri" w:hAnsi="Calibri"/>
                <w:color w:val="5B6B75"/>
                <w:sz w:val="18"/>
                <w:szCs w:val="18"/>
              </w:rPr>
              <w:t xml:space="preserve"> Liste des PEC (impression, export Excel).</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14-attestations.png" descr="img/14-attestations.png" title="img/14-attes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11.</w:t>
            </w:r>
            <w:r>
              <w:rPr>
                <w:rFonts w:ascii="Calibri" w:cs="Calibri" w:eastAsia="Calibri" w:hAnsi="Calibri"/>
                <w:color w:val="5B6B75"/>
                <w:sz w:val="18"/>
                <w:szCs w:val="18"/>
              </w:rPr>
              <w:t xml:space="preserve"> Liste des attestations, impression unitaire.</w:t>
            </w:r>
          </w:p>
        </w:tc>
      </w:tr>
    </w:tbl>
    <w:p>
      <w:pPr>
        <w:spacing w:after="120"/>
      </w:pPr>
    </w:p>
    <w:p>
      <w:pPr>
        <w:pStyle w:val="Heading2"/>
      </w:pPr>
      <w:r>
        <w:rPr>
          <w:rFonts w:ascii="Calibri" w:cs="Calibri" w:eastAsia="Calibri" w:hAnsi="Calibri"/>
        </w:rPr>
        <w:t xml:space="preserve">Statistiques du patient</w:t>
      </w:r>
    </w:p>
    <w:p>
      <w:pPr>
        <w:spacing w:after="100"/>
      </w:pPr>
      <w:r>
        <w:rPr>
          <w:rFonts w:ascii="Calibri" w:cs="Calibri" w:eastAsia="Calibri" w:hAnsi="Calibri"/>
          <w:sz w:val="22"/>
          <w:szCs w:val="22"/>
        </w:rPr>
        <w:t xml:space="preserve">À partir du cahier de dialyse, l'écran calcule sur la période choisie les statistiques </w:t>
      </w:r>
      <w:r>
        <w:rPr>
          <w:rFonts w:ascii="Calibri" w:cs="Calibri" w:eastAsia="Calibri" w:hAnsi="Calibri"/>
          <w:b/>
          <w:bCs/>
          <w:sz w:val="22"/>
          <w:szCs w:val="22"/>
        </w:rPr>
        <w:t xml:space="preserve">paramédicales</w:t>
      </w:r>
      <w:r>
        <w:rPr>
          <w:rFonts w:ascii="Calibri" w:cs="Calibri" w:eastAsia="Calibri" w:hAnsi="Calibri"/>
          <w:sz w:val="22"/>
          <w:szCs w:val="22"/>
        </w:rPr>
        <w:t xml:space="preserve"> (nombre de séances, poids moyen avant / après, ultrafiltration réelle) et </w:t>
      </w:r>
      <w:r>
        <w:rPr>
          <w:rFonts w:ascii="Calibri" w:cs="Calibri" w:eastAsia="Calibri" w:hAnsi="Calibri"/>
          <w:b/>
          <w:bCs/>
          <w:sz w:val="22"/>
          <w:szCs w:val="22"/>
        </w:rPr>
        <w:t xml:space="preserve">médicales</w:t>
      </w:r>
      <w:r>
        <w:rPr>
          <w:rFonts w:ascii="Calibri" w:cs="Calibri" w:eastAsia="Calibri" w:hAnsi="Calibri"/>
          <w:sz w:val="22"/>
          <w:szCs w:val="22"/>
        </w:rPr>
        <w:t xml:space="preserve"> (hémoglobine, Kt/V, ferritine), avec courbes de poids et de tension artérielle. Export CSV et PDF.</w:t>
      </w:r>
    </w:p>
    <w:p>
      <w:pPr>
        <w:spacing w:after="40" w:before="80"/>
        <w:jc w:val="center"/>
      </w:pPr>
      <w:r>
        <w:drawing>
          <wp:inline distT="0" distB="0" distL="0" distR="0">
            <wp:extent cx="5715000" cy="3971925"/>
            <wp:effectExtent t="0" r="0" b="0" l="0"/>
            <wp:docPr id="1" name="img/12-patient-stats.png" descr="img/12-patient-stats.png" title="img/12-patient-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12.</w:t>
      </w:r>
      <w:r>
        <w:rPr>
          <w:rFonts w:ascii="Calibri" w:cs="Calibri" w:eastAsia="Calibri" w:hAnsi="Calibri"/>
          <w:color w:val="5B6B75"/>
          <w:sz w:val="18"/>
          <w:szCs w:val="18"/>
        </w:rPr>
        <w:t xml:space="preserve"> Statistiques individuelles : indicateurs et courbes d'évolution.</w:t>
      </w:r>
    </w:p>
    <w:p>
      <w:pPr>
        <w:pStyle w:val="Heading2"/>
      </w:pPr>
      <w:r>
        <w:rPr>
          <w:rFonts w:ascii="Calibri" w:cs="Calibri" w:eastAsia="Calibri" w:hAnsi="Calibri"/>
        </w:rPr>
        <w:t xml:space="preserve">Cahier de dialyse</w:t>
      </w:r>
    </w:p>
    <w:p>
      <w:pPr>
        <w:spacing w:after="100"/>
      </w:pPr>
      <w:r>
        <w:rPr>
          <w:rFonts w:ascii="Calibri" w:cs="Calibri" w:eastAsia="Calibri" w:hAnsi="Calibri"/>
          <w:sz w:val="22"/>
          <w:szCs w:val="22"/>
        </w:rPr>
        <w:t xml:space="preserve">Le cahier rassemble, séance par séance, les données saisies par l'infirmier (volet paramédical) et les éléments médicaux validés. Un sommaire permet de naviguer entre les séances, chacune avec son statut (signée, validée).</w:t>
      </w:r>
    </w:p>
    <w:p>
      <w:pPr>
        <w:spacing w:after="40" w:before="80"/>
        <w:jc w:val="center"/>
      </w:pPr>
      <w:r>
        <w:drawing>
          <wp:inline distT="0" distB="0" distL="0" distR="0">
            <wp:extent cx="5715000" cy="3971925"/>
            <wp:effectExtent t="0" r="0" b="0" l="0"/>
            <wp:docPr id="1" name="img/17-cahier-dialyse.png" descr="img/17-cahier-dialyse.png" title="img/17-cahier-dialy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13.</w:t>
      </w:r>
      <w:r>
        <w:rPr>
          <w:rFonts w:ascii="Calibri" w:cs="Calibri" w:eastAsia="Calibri" w:hAnsi="Calibri"/>
          <w:color w:val="5B6B75"/>
          <w:sz w:val="18"/>
          <w:szCs w:val="18"/>
        </w:rPr>
        <w:t xml:space="preserve"> Cahier de dialyse : sommaire des séances et résumé paramédical.</w:t>
      </w:r>
    </w:p>
    <w:p>
      <w:pPr>
        <w:pageBreakBefore/>
        <w:spacing w:after="40" w:before="0"/>
      </w:pPr>
      <w:r>
        <w:rPr>
          <w:b/>
          <w:bCs/>
          <w:color w:val="14766E"/>
          <w:spacing w:val="40"/>
          <w:sz w:val="18"/>
          <w:szCs w:val="18"/>
        </w:rPr>
        <w:t xml:space="preserve">CHAPITRE 5</w:t>
      </w:r>
    </w:p>
    <w:p>
      <w:pPr>
        <w:pStyle w:val="Heading1"/>
      </w:pPr>
      <w:r>
        <w:t xml:space="preserve">Dossier médical</w:t>
      </w:r>
    </w:p>
    <w:p>
      <w:pPr>
        <w:spacing w:after="200"/>
      </w:pPr>
      <w:r>
        <w:rPr>
          <w:i/>
          <w:iCs/>
          <w:color w:val="5B6B75"/>
          <w:sz w:val="24"/>
          <w:szCs w:val="24"/>
        </w:rPr>
        <w:t xml:space="preserve">Onze onglets pour un dossier clinique complet et structuré.</w:t>
      </w:r>
    </w:p>
    <w:p>
      <w:pPr>
        <w:spacing w:after="100"/>
      </w:pPr>
      <w:r>
        <w:rPr>
          <w:rFonts w:ascii="Calibri" w:cs="Calibri" w:eastAsia="Calibri" w:hAnsi="Calibri"/>
          <w:sz w:val="22"/>
          <w:szCs w:val="22"/>
        </w:rPr>
        <w:t xml:space="preserve">Le dossier médical est accessible depuis la liste des patients. Il est en </w:t>
      </w:r>
      <w:r>
        <w:rPr>
          <w:rFonts w:ascii="Calibri" w:cs="Calibri" w:eastAsia="Calibri" w:hAnsi="Calibri"/>
          <w:b/>
          <w:bCs/>
          <w:sz w:val="22"/>
          <w:szCs w:val="22"/>
        </w:rPr>
        <w:t xml:space="preserve">lecture seule</w:t>
      </w:r>
      <w:r>
        <w:rPr>
          <w:rFonts w:ascii="Calibri" w:cs="Calibri" w:eastAsia="Calibri" w:hAnsi="Calibri"/>
          <w:sz w:val="22"/>
          <w:szCs w:val="22"/>
        </w:rPr>
        <w:t xml:space="preserve"> pour les profils non cliniciens et modifiable pour le médecin. Chaque onglet est chargé à la demande et les listes sont paginées.</w:t>
      </w:r>
    </w:p>
    <w:p>
      <w:pPr>
        <w:pStyle w:val="Heading2"/>
      </w:pPr>
      <w:r>
        <w:rPr>
          <w:rFonts w:ascii="Calibri" w:cs="Calibri" w:eastAsia="Calibri" w:hAnsi="Calibri"/>
        </w:rPr>
        <w:t xml:space="preserve">Synthèse</w:t>
      </w:r>
    </w:p>
    <w:p>
      <w:pPr>
        <w:spacing w:after="100"/>
      </w:pPr>
      <w:r>
        <w:rPr>
          <w:rFonts w:ascii="Calibri" w:cs="Calibri" w:eastAsia="Calibri" w:hAnsi="Calibri"/>
          <w:sz w:val="22"/>
          <w:szCs w:val="22"/>
        </w:rPr>
        <w:t xml:space="preserve">Néphropathie initiale, date de mise en dialyse, statut des hépatites B et C, observation globale et conclusion du médecin.</w:t>
      </w:r>
    </w:p>
    <w:p>
      <w:pPr>
        <w:spacing w:after="40" w:before="80"/>
        <w:jc w:val="center"/>
      </w:pPr>
      <w:r>
        <w:drawing>
          <wp:inline distT="0" distB="0" distL="0" distR="0">
            <wp:extent cx="5715000" cy="3971925"/>
            <wp:effectExtent t="0" r="0" b="0" l="0"/>
            <wp:docPr id="1" name="img/20-dm-synthese.png" descr="img/20-dm-synthese.png" title="img/20-dm-synthe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14.</w:t>
      </w:r>
      <w:r>
        <w:rPr>
          <w:rFonts w:ascii="Calibri" w:cs="Calibri" w:eastAsia="Calibri" w:hAnsi="Calibri"/>
          <w:color w:val="5B6B75"/>
          <w:sz w:val="18"/>
          <w:szCs w:val="18"/>
        </w:rPr>
        <w:t xml:space="preserve"> Onglet Synthèse.</w:t>
      </w:r>
    </w:p>
    <w:p>
      <w:pPr>
        <w:pStyle w:val="Heading2"/>
      </w:pPr>
      <w:r>
        <w:rPr>
          <w:rFonts w:ascii="Calibri" w:cs="Calibri" w:eastAsia="Calibri" w:hAnsi="Calibri"/>
        </w:rPr>
        <w:t xml:space="preserve">Antécédents et allergies</w:t>
      </w:r>
    </w:p>
    <w:p>
      <w:pPr>
        <w:spacing w:after="100"/>
      </w:pPr>
      <w:r>
        <w:rPr>
          <w:rFonts w:ascii="Calibri" w:cs="Calibri" w:eastAsia="Calibri" w:hAnsi="Calibri"/>
          <w:sz w:val="22"/>
          <w:szCs w:val="22"/>
        </w:rPr>
        <w:t xml:space="preserve">Antécédents médicaux, chirurgicaux, familiaux et obstétricaux, avec statut (actif / résolu), dates et notes ; allergies et intolérances avec leur sévérité. Un antécédent actif peut être marqué « résolu » en un clic.</w:t>
      </w:r>
    </w:p>
    <w:p>
      <w:pPr>
        <w:spacing w:after="40" w:before="80"/>
        <w:jc w:val="center"/>
      </w:pPr>
      <w:r>
        <w:drawing>
          <wp:inline distT="0" distB="0" distL="0" distR="0">
            <wp:extent cx="5715000" cy="3971925"/>
            <wp:effectExtent t="0" r="0" b="0" l="0"/>
            <wp:docPr id="1" name="img/21-dm-antecedents.png" descr="img/21-dm-antecedents.png" title="img/21-dm-anteced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15.</w:t>
      </w:r>
      <w:r>
        <w:rPr>
          <w:rFonts w:ascii="Calibri" w:cs="Calibri" w:eastAsia="Calibri" w:hAnsi="Calibri"/>
          <w:color w:val="5B6B75"/>
          <w:sz w:val="18"/>
          <w:szCs w:val="18"/>
        </w:rPr>
        <w:t xml:space="preserve"> Antécédents et comorbidités.</w:t>
      </w:r>
    </w:p>
    <w:p>
      <w:pPr>
        <w:pStyle w:val="Heading2"/>
      </w:pPr>
      <w:r>
        <w:rPr>
          <w:rFonts w:ascii="Calibri" w:cs="Calibri" w:eastAsia="Calibri" w:hAnsi="Calibri"/>
        </w:rPr>
        <w:t xml:space="preserve">Sérologies</w:t>
      </w:r>
    </w:p>
    <w:p>
      <w:pPr>
        <w:spacing w:after="100"/>
      </w:pPr>
      <w:r>
        <w:rPr>
          <w:rFonts w:ascii="Calibri" w:cs="Calibri" w:eastAsia="Calibri" w:hAnsi="Calibri"/>
          <w:sz w:val="22"/>
          <w:szCs w:val="22"/>
        </w:rPr>
        <w:t xml:space="preserve">Marqueurs infectieux (VIH, hépatites B et C, TPHA, CMV, EBV, toxoplasmose), résultat, date de prélèvement, laboratoire, prochain contrôle. Les résultats positifs sont mis en évidence ; une synthèse par marqueur est affichée en tête.</w:t>
      </w:r>
    </w:p>
    <w:p>
      <w:pPr>
        <w:spacing w:after="40" w:before="80"/>
        <w:jc w:val="center"/>
      </w:pPr>
      <w:r>
        <w:drawing>
          <wp:inline distT="0" distB="0" distL="0" distR="0">
            <wp:extent cx="5715000" cy="3971925"/>
            <wp:effectExtent t="0" r="0" b="0" l="0"/>
            <wp:docPr id="1" name="img/22-dm-serologies.png" descr="img/22-dm-serologies.png" title="img/22-dm-serolog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16.</w:t>
      </w:r>
      <w:r>
        <w:rPr>
          <w:rFonts w:ascii="Calibri" w:cs="Calibri" w:eastAsia="Calibri" w:hAnsi="Calibri"/>
          <w:color w:val="5B6B75"/>
          <w:sz w:val="18"/>
          <w:szCs w:val="18"/>
        </w:rPr>
        <w:t xml:space="preserve"> Suivi sérologique.</w:t>
      </w:r>
    </w:p>
    <w:p>
      <w:pPr>
        <w:pStyle w:val="Heading2"/>
      </w:pPr>
      <w:r>
        <w:rPr>
          <w:rFonts w:ascii="Calibri" w:cs="Calibri" w:eastAsia="Calibri" w:hAnsi="Calibri"/>
        </w:rPr>
        <w:t xml:space="preserve">Examens</w:t>
      </w:r>
    </w:p>
    <w:p>
      <w:pPr>
        <w:spacing w:after="100"/>
      </w:pPr>
      <w:r>
        <w:rPr>
          <w:rFonts w:ascii="Calibri" w:cs="Calibri" w:eastAsia="Calibri" w:hAnsi="Calibri"/>
          <w:sz w:val="22"/>
          <w:szCs w:val="22"/>
        </w:rPr>
        <w:t xml:space="preserve">Demandes d'examens biologiques, d'imagerie et fonctionnels, avec suivi du statut (demandé → prélevé → résultat disponible → validé), conclusion du médecin et marquage d'urgence.</w:t>
      </w:r>
    </w:p>
    <w:p>
      <w:pPr>
        <w:spacing w:after="40" w:before="80"/>
        <w:jc w:val="center"/>
      </w:pPr>
      <w:r>
        <w:drawing>
          <wp:inline distT="0" distB="0" distL="0" distR="0">
            <wp:extent cx="5715000" cy="3971925"/>
            <wp:effectExtent t="0" r="0" b="0" l="0"/>
            <wp:docPr id="1" name="img/23-dm-examens.png" descr="img/23-dm-examens.png" title="img/23-dm-exam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17.</w:t>
      </w:r>
      <w:r>
        <w:rPr>
          <w:rFonts w:ascii="Calibri" w:cs="Calibri" w:eastAsia="Calibri" w:hAnsi="Calibri"/>
          <w:color w:val="5B6B75"/>
          <w:sz w:val="18"/>
          <w:szCs w:val="18"/>
        </w:rPr>
        <w:t xml:space="preserve"> Demandes d'examens et leur avancement.</w:t>
      </w:r>
    </w:p>
    <w:p>
      <w:pPr>
        <w:pStyle w:val="Heading2"/>
      </w:pPr>
      <w:r>
        <w:rPr>
          <w:rFonts w:ascii="Calibri" w:cs="Calibri" w:eastAsia="Calibri" w:hAnsi="Calibri"/>
        </w:rPr>
        <w:t xml:space="preserve">Abords vasculaires</w:t>
      </w:r>
    </w:p>
    <w:p>
      <w:pPr>
        <w:spacing w:after="100"/>
      </w:pPr>
      <w:r>
        <w:rPr>
          <w:rFonts w:ascii="Calibri" w:cs="Calibri" w:eastAsia="Calibri" w:hAnsi="Calibri"/>
          <w:sz w:val="22"/>
          <w:szCs w:val="22"/>
        </w:rPr>
        <w:t xml:space="preserve">Historique des accès de dialyse : fistule artério-veineuse, pontage PTFE, cathéter tunnelisé ou aigu, côté, localisation, dates de création et de fin, complications éventuelles.</w:t>
      </w:r>
    </w:p>
    <w:p>
      <w:pPr>
        <w:spacing w:after="40" w:before="80"/>
        <w:jc w:val="center"/>
      </w:pPr>
      <w:r>
        <w:drawing>
          <wp:inline distT="0" distB="0" distL="0" distR="0">
            <wp:extent cx="5715000" cy="3971925"/>
            <wp:effectExtent t="0" r="0" b="0" l="0"/>
            <wp:docPr id="1" name="img/24-dm-abords.png" descr="img/24-dm-abords.png" title="img/24-dm-abor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18.</w:t>
      </w:r>
      <w:r>
        <w:rPr>
          <w:rFonts w:ascii="Calibri" w:cs="Calibri" w:eastAsia="Calibri" w:hAnsi="Calibri"/>
          <w:color w:val="5B6B75"/>
          <w:sz w:val="18"/>
          <w:szCs w:val="18"/>
        </w:rPr>
        <w:t xml:space="preserve"> Abords vasculaires actifs et historiques.</w:t>
      </w:r>
    </w:p>
    <w:p>
      <w:pPr>
        <w:pStyle w:val="Heading2"/>
      </w:pPr>
      <w:r>
        <w:rPr>
          <w:rFonts w:ascii="Calibri" w:cs="Calibri" w:eastAsia="Calibri" w:hAnsi="Calibri"/>
        </w:rPr>
        <w:t xml:space="preserve">Prescriptions et biologie</w:t>
      </w:r>
    </w:p>
    <w:p>
      <w:pPr>
        <w:spacing w:after="100"/>
      </w:pPr>
      <w:r>
        <w:rPr>
          <w:rFonts w:ascii="Calibri" w:cs="Calibri" w:eastAsia="Calibri" w:hAnsi="Calibri"/>
          <w:sz w:val="22"/>
          <w:szCs w:val="22"/>
        </w:rPr>
        <w:t xml:space="preserve">Les </w:t>
      </w:r>
      <w:r>
        <w:rPr>
          <w:rFonts w:ascii="Calibri" w:cs="Calibri" w:eastAsia="Calibri" w:hAnsi="Calibri"/>
          <w:b/>
          <w:bCs/>
          <w:sz w:val="22"/>
          <w:szCs w:val="22"/>
        </w:rPr>
        <w:t xml:space="preserve">prescriptions de dialyse</w:t>
      </w:r>
      <w:r>
        <w:rPr>
          <w:rFonts w:ascii="Calibri" w:cs="Calibri" w:eastAsia="Calibri" w:hAnsi="Calibri"/>
          <w:sz w:val="22"/>
          <w:szCs w:val="22"/>
        </w:rPr>
        <w:t xml:space="preserve"> (débits, ultrafiltration maximale, durée, type de dialyseur, anticoagulation, traitements EPO / Fer) sont versionnées par date. L'onglet </w:t>
      </w:r>
      <w:r>
        <w:rPr>
          <w:rFonts w:ascii="Calibri" w:cs="Calibri" w:eastAsia="Calibri" w:hAnsi="Calibri"/>
          <w:b/>
          <w:bCs/>
          <w:sz w:val="22"/>
          <w:szCs w:val="22"/>
        </w:rPr>
        <w:t xml:space="preserve">Biologie</w:t>
      </w:r>
      <w:r>
        <w:rPr>
          <w:rFonts w:ascii="Calibri" w:cs="Calibri" w:eastAsia="Calibri" w:hAnsi="Calibri"/>
          <w:sz w:val="22"/>
          <w:szCs w:val="22"/>
        </w:rPr>
        <w:t xml:space="preserve"> présente les résultats d'analyses en tableau, avec mise en évidence des valeurs hors cible.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5-dm-prescriptions.png" descr="img/25-dm-prescriptions.png" title="img/25-dm-prescri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19.</w:t>
            </w:r>
            <w:r>
              <w:rPr>
                <w:rFonts w:ascii="Calibri" w:cs="Calibri" w:eastAsia="Calibri" w:hAnsi="Calibri"/>
                <w:color w:val="5B6B75"/>
                <w:sz w:val="18"/>
                <w:szCs w:val="18"/>
              </w:rPr>
              <w:t xml:space="preserve"> Historique des prescriptions.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6-dm-biologie.png" descr="img/26-dm-biologie.png" title="img/26-dm-biolog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20.</w:t>
            </w:r>
            <w:r>
              <w:rPr>
                <w:rFonts w:ascii="Calibri" w:cs="Calibri" w:eastAsia="Calibri" w:hAnsi="Calibri"/>
                <w:color w:val="5B6B75"/>
                <w:sz w:val="18"/>
                <w:szCs w:val="18"/>
              </w:rPr>
              <w:t xml:space="preserve"> Résultats biologiques.</w:t>
            </w:r>
          </w:p>
        </w:tc>
      </w:tr>
    </w:tbl>
    <w:p>
      <w:pPr>
        <w:spacing w:after="120"/>
      </w:pPr>
    </w:p>
    <w:p>
      <w:pPr>
        <w:pStyle w:val="Heading2"/>
      </w:pPr>
      <w:r>
        <w:rPr>
          <w:rFonts w:ascii="Calibri" w:cs="Calibri" w:eastAsia="Calibri" w:hAnsi="Calibri"/>
        </w:rPr>
        <w:t xml:space="preserve">Constantes et ordonnances</w:t>
      </w:r>
    </w:p>
    <w:p>
      <w:pPr>
        <w:spacing w:after="100"/>
      </w:pPr>
      <w:r>
        <w:rPr>
          <w:rFonts w:ascii="Calibri" w:cs="Calibri" w:eastAsia="Calibri" w:hAnsi="Calibri"/>
          <w:b/>
          <w:bCs/>
          <w:sz w:val="22"/>
          <w:szCs w:val="22"/>
        </w:rPr>
        <w:t xml:space="preserve">Constantes</w:t>
      </w:r>
      <w:r>
        <w:rPr>
          <w:rFonts w:ascii="Calibri" w:cs="Calibri" w:eastAsia="Calibri" w:hAnsi="Calibri"/>
          <w:sz w:val="22"/>
          <w:szCs w:val="22"/>
        </w:rPr>
        <w:t xml:space="preserve"> : poids avant / après, tension artérielle, débit sanguin, ultrafiltration et durée, en courbes et en tableau. </w:t>
      </w:r>
      <w:r>
        <w:rPr>
          <w:rFonts w:ascii="Calibri" w:cs="Calibri" w:eastAsia="Calibri" w:hAnsi="Calibri"/>
          <w:b/>
          <w:bCs/>
          <w:sz w:val="22"/>
          <w:szCs w:val="22"/>
        </w:rPr>
        <w:t xml:space="preserve">Ordonnances</w:t>
      </w:r>
      <w:r>
        <w:rPr>
          <w:rFonts w:ascii="Calibri" w:cs="Calibri" w:eastAsia="Calibri" w:hAnsi="Calibri"/>
          <w:sz w:val="22"/>
          <w:szCs w:val="22"/>
        </w:rPr>
        <w:t xml:space="preserve"> : rédaction, signature, impression et export (FHIR) des prescriptions médicamenteuses, avec numérotation automatique.</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8-dm-constantes.png" descr="img/28-dm-constantes.png" title="img/28-dm-consta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21.</w:t>
            </w:r>
            <w:r>
              <w:rPr>
                <w:rFonts w:ascii="Calibri" w:cs="Calibri" w:eastAsia="Calibri" w:hAnsi="Calibri"/>
                <w:color w:val="5B6B75"/>
                <w:sz w:val="18"/>
                <w:szCs w:val="18"/>
              </w:rPr>
              <w:t xml:space="preserve"> Évolution des constantes de séance.</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29-dm-ordonnances.png" descr="img/29-dm-ordonnances.png" title="img/29-dm-ordonna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22.</w:t>
            </w:r>
            <w:r>
              <w:rPr>
                <w:rFonts w:ascii="Calibri" w:cs="Calibri" w:eastAsia="Calibri" w:hAnsi="Calibri"/>
                <w:color w:val="5B6B75"/>
                <w:sz w:val="18"/>
                <w:szCs w:val="18"/>
              </w:rPr>
              <w:t xml:space="preserve"> Ordonnances signées.</w:t>
            </w:r>
          </w:p>
        </w:tc>
      </w:tr>
    </w:tbl>
    <w:p>
      <w:pPr>
        <w:spacing w:after="120"/>
      </w:pPr>
    </w:p>
    <w:p>
      <w:pPr>
        <w:pageBreakBefore/>
        <w:spacing w:after="40" w:before="0"/>
      </w:pPr>
      <w:r>
        <w:rPr>
          <w:b/>
          <w:bCs/>
          <w:color w:val="14766E"/>
          <w:spacing w:val="40"/>
          <w:sz w:val="18"/>
          <w:szCs w:val="18"/>
        </w:rPr>
        <w:t xml:space="preserve">CHAPITRE 6</w:t>
      </w:r>
    </w:p>
    <w:p>
      <w:pPr>
        <w:pStyle w:val="Heading1"/>
      </w:pPr>
      <w:r>
        <w:t xml:space="preserve">Suivi de l'anémie (EPO / Fer)</w:t>
      </w:r>
    </w:p>
    <w:p>
      <w:pPr>
        <w:spacing w:after="200"/>
      </w:pPr>
      <w:r>
        <w:rPr>
          <w:i/>
          <w:iCs/>
          <w:color w:val="5B6B75"/>
          <w:sz w:val="24"/>
          <w:szCs w:val="24"/>
        </w:rPr>
        <w:t xml:space="preserve">Une prescription respectée, prouvée et sans oubli.</w:t>
      </w:r>
    </w:p>
    <w:p>
      <w:pPr>
        <w:spacing w:after="100"/>
      </w:pPr>
      <w:r>
        <w:rPr>
          <w:rFonts w:ascii="Calibri" w:cs="Calibri" w:eastAsia="Calibri" w:hAnsi="Calibri"/>
          <w:sz w:val="22"/>
          <w:szCs w:val="22"/>
        </w:rPr>
        <w:t xml:space="preserve">L'anémie est une complication majeure de l'insuffisance rénale : le traitement par EPO et fer injectable doit être suivi avec rigueur. HemoDialyse relie la prescription du médecin, l'administration par l'infirmier et le stock pour garantir que ce qui est prescrit est réellement administré.</w:t>
      </w:r>
    </w:p>
    <w:p>
      <w:pPr>
        <w:pStyle w:val="Heading2"/>
      </w:pPr>
      <w:r>
        <w:rPr>
          <w:rFonts w:ascii="Calibri" w:cs="Calibri" w:eastAsia="Calibri" w:hAnsi="Calibri"/>
        </w:rPr>
        <w:t xml:space="preserve">Cibles cliniques KDIGO</w:t>
      </w:r>
    </w:p>
    <w:p>
      <w:pPr>
        <w:spacing w:after="100"/>
      </w:pPr>
      <w:r>
        <w:rPr>
          <w:rFonts w:ascii="Calibri" w:cs="Calibri" w:eastAsia="Calibri" w:hAnsi="Calibri"/>
          <w:sz w:val="22"/>
          <w:szCs w:val="22"/>
        </w:rPr>
        <w:t xml:space="preserve">Les derniers résultats sont comparés aux cibles des recommandations KDIGO : hémoglobine, ferritine, CST, albumine, Kt/V. Chaque indicateur est marqué </w:t>
      </w:r>
      <w:r>
        <w:rPr>
          <w:rFonts w:ascii="Calibri" w:cs="Calibri" w:eastAsia="Calibri" w:hAnsi="Calibri"/>
          <w:b/>
          <w:bCs/>
          <w:sz w:val="22"/>
          <w:szCs w:val="22"/>
        </w:rPr>
        <w:t xml:space="preserve">dans la cible</w:t>
      </w:r>
      <w:r>
        <w:rPr>
          <w:rFonts w:ascii="Calibri" w:cs="Calibri" w:eastAsia="Calibri" w:hAnsi="Calibri"/>
          <w:sz w:val="22"/>
          <w:szCs w:val="22"/>
        </w:rPr>
        <w:t xml:space="preserve"> ou </w:t>
      </w:r>
      <w:r>
        <w:rPr>
          <w:rFonts w:ascii="Calibri" w:cs="Calibri" w:eastAsia="Calibri" w:hAnsi="Calibri"/>
          <w:b/>
          <w:bCs/>
          <w:sz w:val="22"/>
          <w:szCs w:val="22"/>
        </w:rPr>
        <w:t xml:space="preserve">sous la cible</w:t>
      </w:r>
      <w:r>
        <w:rPr>
          <w:rFonts w:ascii="Calibri" w:cs="Calibri" w:eastAsia="Calibri" w:hAnsi="Calibri"/>
          <w:sz w:val="22"/>
          <w:szCs w:val="22"/>
        </w:rPr>
        <w:t xml:space="preserve"> et la courbe Hb / ferritine visualise la tendance.</w:t>
      </w:r>
    </w:p>
    <w:p>
      <w:pPr>
        <w:spacing w:after="40" w:before="80"/>
        <w:jc w:val="center"/>
      </w:pPr>
      <w:r>
        <w:drawing>
          <wp:inline distT="0" distB="0" distL="0" distR="0">
            <wp:extent cx="5715000" cy="3971925"/>
            <wp:effectExtent t="0" r="0" b="0" l="0"/>
            <wp:docPr id="1" name="img/27-dm-anemie.png" descr="img/27-dm-anemie.png" title="img/27-dm-anem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23.</w:t>
      </w:r>
      <w:r>
        <w:rPr>
          <w:rFonts w:ascii="Calibri" w:cs="Calibri" w:eastAsia="Calibri" w:hAnsi="Calibri"/>
          <w:color w:val="5B6B75"/>
          <w:sz w:val="18"/>
          <w:szCs w:val="18"/>
        </w:rPr>
        <w:t xml:space="preserve"> Onglet Anémie : alertes d'observance, courbe Hb / ferritine, cibles KDIGO, prescription active.</w:t>
      </w:r>
    </w:p>
    <w:p>
      <w:pPr>
        <w:pStyle w:val="Heading2"/>
      </w:pPr>
      <w:r>
        <w:rPr>
          <w:rFonts w:ascii="Calibri" w:cs="Calibri" w:eastAsia="Calibri" w:hAnsi="Calibri"/>
        </w:rPr>
        <w:t xml:space="preserve">Prescription structurée</w:t>
      </w:r>
    </w:p>
    <w:p>
      <w:pPr>
        <w:spacing w:after="100"/>
      </w:pPr>
      <w:r>
        <w:rPr>
          <w:rFonts w:ascii="Calibri" w:cs="Calibri" w:eastAsia="Calibri" w:hAnsi="Calibri"/>
          <w:sz w:val="22"/>
          <w:szCs w:val="22"/>
        </w:rPr>
        <w:t xml:space="preserve">Le médecin prescrit l'EPO et le fer en choisissant l'</w:t>
      </w:r>
      <w:r>
        <w:rPr>
          <w:rFonts w:ascii="Calibri" w:cs="Calibri" w:eastAsia="Calibri" w:hAnsi="Calibri"/>
          <w:b/>
          <w:bCs/>
          <w:sz w:val="22"/>
          <w:szCs w:val="22"/>
        </w:rPr>
        <w:t xml:space="preserve">article du stock</w:t>
      </w:r>
      <w:r>
        <w:rPr>
          <w:rFonts w:ascii="Calibri" w:cs="Calibri" w:eastAsia="Calibri" w:hAnsi="Calibri"/>
          <w:sz w:val="22"/>
          <w:szCs w:val="22"/>
        </w:rPr>
        <w:t xml:space="preserve">, la dose, la voie et une </w:t>
      </w:r>
      <w:r>
        <w:rPr>
          <w:rFonts w:ascii="Calibri" w:cs="Calibri" w:eastAsia="Calibri" w:hAnsi="Calibri"/>
          <w:b/>
          <w:bCs/>
          <w:sz w:val="22"/>
          <w:szCs w:val="22"/>
        </w:rPr>
        <w:t xml:space="preserve">fréquence structurée</w:t>
      </w:r>
      <w:r>
        <w:rPr>
          <w:rFonts w:ascii="Calibri" w:cs="Calibri" w:eastAsia="Calibri" w:hAnsi="Calibri"/>
          <w:sz w:val="22"/>
          <w:szCs w:val="22"/>
        </w:rPr>
        <w:t xml:space="preserve"> (par exemple « 2 fois par semaine » ou « 2 fois par mois »). Cette structure permet au système de calculer précisément les doses attendues.</w:t>
      </w:r>
    </w:p>
    <w:p>
      <w:pPr>
        <w:pStyle w:val="Heading2"/>
      </w:pPr>
      <w:r>
        <w:rPr>
          <w:rFonts w:ascii="Calibri" w:cs="Calibri" w:eastAsia="Calibri" w:hAnsi="Calibri"/>
        </w:rPr>
        <w:t xml:space="preserve">Administration en séance</w:t>
      </w:r>
    </w:p>
    <w:p>
      <w:pPr>
        <w:spacing w:after="100"/>
      </w:pPr>
      <w:r>
        <w:rPr>
          <w:rFonts w:ascii="Calibri" w:cs="Calibri" w:eastAsia="Calibri" w:hAnsi="Calibri"/>
          <w:sz w:val="22"/>
          <w:szCs w:val="22"/>
        </w:rPr>
        <w:t xml:space="preserve">Pendant la séance, l'infirmier voit la prescription en vigueur et </w:t>
      </w:r>
      <w:r>
        <w:rPr>
          <w:rFonts w:ascii="Calibri" w:cs="Calibri" w:eastAsia="Calibri" w:hAnsi="Calibri"/>
          <w:b/>
          <w:bCs/>
          <w:sz w:val="22"/>
          <w:szCs w:val="22"/>
        </w:rPr>
        <w:t xml:space="preserve">la quantité restante à administrer</w:t>
      </w:r>
      <w:r>
        <w:rPr>
          <w:rFonts w:ascii="Calibri" w:cs="Calibri" w:eastAsia="Calibri" w:hAnsi="Calibri"/>
          <w:sz w:val="22"/>
          <w:szCs w:val="22"/>
        </w:rPr>
        <w:t xml:space="preserve"> sur la période en cours. Les champs issus de la prescription (molécule, dose, unité, voie) sont verrouillés ; l'infirmier saisit la </w:t>
      </w:r>
      <w:r>
        <w:rPr>
          <w:rFonts w:ascii="Calibri" w:cs="Calibri" w:eastAsia="Calibri" w:hAnsi="Calibri"/>
          <w:b/>
          <w:bCs/>
          <w:sz w:val="22"/>
          <w:szCs w:val="22"/>
        </w:rPr>
        <w:t xml:space="preserve">quantité administrée</w:t>
      </w:r>
      <w:r>
        <w:rPr>
          <w:rFonts w:ascii="Calibri" w:cs="Calibri" w:eastAsia="Calibri" w:hAnsi="Calibri"/>
          <w:sz w:val="22"/>
          <w:szCs w:val="22"/>
        </w:rPr>
        <w:t xml:space="preserve"> et confirme l'administration. Elle génère automatiquement la </w:t>
      </w:r>
      <w:r>
        <w:rPr>
          <w:rFonts w:ascii="Calibri" w:cs="Calibri" w:eastAsia="Calibri" w:hAnsi="Calibri"/>
          <w:b/>
          <w:bCs/>
          <w:sz w:val="22"/>
          <w:szCs w:val="22"/>
        </w:rPr>
        <w:t xml:space="preserve">sortie de stock</w:t>
      </w:r>
      <w:r>
        <w:rPr>
          <w:rFonts w:ascii="Calibri" w:cs="Calibri" w:eastAsia="Calibri" w:hAnsi="Calibri"/>
          <w:sz w:val="22"/>
          <w:szCs w:val="22"/>
        </w:rPr>
        <w:t xml:space="preserve"> du bon lot, selon la règle du premier périmé, premier sorti (FEFO).</w:t>
      </w:r>
    </w:p>
    <w:p>
      <w:pPr>
        <w:spacing w:after="40" w:before="80"/>
        <w:jc w:val="center"/>
      </w:pPr>
      <w:r>
        <w:drawing>
          <wp:inline distT="0" distB="0" distL="0" distR="0">
            <wp:extent cx="5715000" cy="2867025"/>
            <wp:effectExtent t="0" r="0" b="0" l="0"/>
            <wp:docPr id="1" name="img/44-seance-anemie.png" descr="img/44-seance-anemie.png" title="img/44-seance-anem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67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24.</w:t>
      </w:r>
      <w:r>
        <w:rPr>
          <w:rFonts w:ascii="Calibri" w:cs="Calibri" w:eastAsia="Calibri" w:hAnsi="Calibri"/>
          <w:color w:val="5B6B75"/>
          <w:sz w:val="18"/>
          <w:szCs w:val="18"/>
        </w:rPr>
        <w:t xml:space="preserve"> Bloc « Administration EPO / Fer injectable » dans la séance : reste à administrer avant la fin de la période.</w:t>
      </w:r>
    </w:p>
    <w:p>
      <w:pPr>
        <w:pStyle w:val="Heading2"/>
      </w:pPr>
      <w:r>
        <w:rPr>
          <w:rFonts w:ascii="Calibri" w:cs="Calibri" w:eastAsia="Calibri" w:hAnsi="Calibri"/>
        </w:rPr>
        <w:t xml:space="preserve">Alertes d'observance pour le médecin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59"/>
        <w:gridCol w:w="4170"/>
        <w:gridCol w:w="4171"/>
      </w:tblGrid>
      <w:tr>
        <w:trPr>
          <w:tblHeader/>
        </w:trPr>
        <w:tc>
          <w:tcPr>
            <w:tcW w:type="dxa" w:w="1459"/>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Alerte</w:t>
            </w:r>
          </w:p>
        </w:tc>
        <w:tc>
          <w:tcPr>
            <w:tcW w:type="dxa" w:w="4170"/>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Quand ?</w:t>
            </w:r>
          </w:p>
        </w:tc>
        <w:tc>
          <w:tcPr>
            <w:tcW w:type="dxa" w:w="4171"/>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Contenu</w:t>
            </w:r>
          </w:p>
        </w:tc>
      </w:tr>
      <w:tr>
        <w:trPr>
          <w:tblHeader w:val="false"/>
        </w:trPr>
        <w:tc>
          <w:tcPr>
            <w:tcW w:type="dxa" w:w="1459"/>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bCs/>
                <w:sz w:val="20"/>
                <w:szCs w:val="20"/>
              </w:rPr>
              <w:t xml:space="preserve">Rappel avant échéance</w:t>
            </w:r>
          </w:p>
        </w:tc>
        <w:tc>
          <w:tcPr>
            <w:tcW w:type="dxa" w:w="4170"/>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Avant la fin de la semaine / du mois / de la période de prescription</w:t>
            </w:r>
          </w:p>
        </w:tc>
        <w:tc>
          <w:tcPr>
            <w:tcW w:type="dxa" w:w="4171"/>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Nombre de doses restant à administrer et date limite. Disparaît automatiquement dès que les doses sont administrées.</w:t>
            </w:r>
          </w:p>
        </w:tc>
      </w:tr>
      <w:tr>
        <w:trPr>
          <w:tblHeader w:val="false"/>
        </w:trPr>
        <w:tc>
          <w:tcPr>
            <w:tcW w:type="dxa" w:w="1459"/>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bCs/>
                <w:sz w:val="20"/>
                <w:szCs w:val="20"/>
              </w:rPr>
              <w:t xml:space="preserve">Retard constaté</w:t>
            </w:r>
          </w:p>
        </w:tc>
        <w:tc>
          <w:tcPr>
            <w:tcW w:type="dxa" w:w="4170"/>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Après la clôture d'une période</w:t>
            </w:r>
          </w:p>
        </w:tc>
        <w:tc>
          <w:tcPr>
            <w:tcW w:type="dxa" w:w="4171"/>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Doses attendues vs doses administrées. Reste affichée jusqu'à ce que le médecin la marque comme résolue.</w:t>
            </w:r>
          </w:p>
        </w:tc>
      </w:tr>
    </w:tbl>
    <w:p>
      <w:pPr>
        <w:spacing w:after="120"/>
      </w:pPr>
    </w:p>
    <w:p>
      <w:pPr>
        <w:spacing w:after="100"/>
      </w:pPr>
      <w:r>
        <w:rPr>
          <w:rFonts w:ascii="Calibri" w:cs="Calibri" w:eastAsia="Calibri" w:hAnsi="Calibri"/>
          <w:sz w:val="22"/>
          <w:szCs w:val="22"/>
        </w:rPr>
        <w:t xml:space="preserve">Les périodes sont calculées à partir de la </w:t>
      </w:r>
      <w:r>
        <w:rPr>
          <w:rFonts w:ascii="Calibri" w:cs="Calibri" w:eastAsia="Calibri" w:hAnsi="Calibri"/>
          <w:b/>
          <w:bCs/>
          <w:sz w:val="22"/>
          <w:szCs w:val="22"/>
        </w:rPr>
        <w:t xml:space="preserve">date de prescription</w:t>
      </w:r>
      <w:r>
        <w:rPr>
          <w:rFonts w:ascii="Calibri" w:cs="Calibri" w:eastAsia="Calibri" w:hAnsi="Calibri"/>
          <w:sz w:val="22"/>
          <w:szCs w:val="22"/>
        </w:rPr>
        <w:t xml:space="preserve"> et de la fréquence prescrite. Un contrôle quotidien automatique alimente ces alertes, visibles dans l'onglet Anémie et sous forme de notification.</w:t>
      </w:r>
    </w:p>
    <w:p>
      <w:pPr>
        <w:spacing w:after="40" w:before="80"/>
        <w:jc w:val="center"/>
      </w:pPr>
      <w:r>
        <w:drawing>
          <wp:inline distT="0" distB="0" distL="0" distR="0">
            <wp:extent cx="2381250" cy="5153025"/>
            <wp:effectExtent t="0" r="0" b="0" l="0"/>
            <wp:docPr id="1" name="img/81-mobile-anemie.png" descr="img/81-mobile-anemie.png" title="img/81-mobile-anem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381250" cy="5153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25.</w:t>
      </w:r>
      <w:r>
        <w:rPr>
          <w:rFonts w:ascii="Calibri" w:cs="Calibri" w:eastAsia="Calibri" w:hAnsi="Calibri"/>
          <w:color w:val="5B6B75"/>
          <w:sz w:val="18"/>
          <w:szCs w:val="18"/>
        </w:rPr>
        <w:t xml:space="preserve"> Les alertes d'observance sur smartphone.</w:t>
      </w:r>
    </w:p>
    <w:p>
      <w:pPr>
        <w:pageBreakBefore/>
        <w:spacing w:after="40" w:before="0"/>
      </w:pPr>
      <w:r>
        <w:rPr>
          <w:b/>
          <w:bCs/>
          <w:color w:val="14766E"/>
          <w:spacing w:val="40"/>
          <w:sz w:val="18"/>
          <w:szCs w:val="18"/>
        </w:rPr>
        <w:t xml:space="preserve">CHAPITRE 7</w:t>
      </w:r>
    </w:p>
    <w:p>
      <w:pPr>
        <w:pStyle w:val="Heading1"/>
      </w:pPr>
      <w:r>
        <w:t xml:space="preserve">Préparation à la greffe rénale</w:t>
      </w:r>
    </w:p>
    <w:p>
      <w:pPr>
        <w:spacing w:after="200"/>
      </w:pPr>
      <w:r>
        <w:rPr>
          <w:i/>
          <w:iCs/>
          <w:color w:val="5B6B75"/>
          <w:sz w:val="24"/>
          <w:szCs w:val="24"/>
        </w:rPr>
        <w:t xml:space="preserve">Transformer les données du dialysé en dossier de transplantation.</w:t>
      </w:r>
    </w:p>
    <w:p>
      <w:pPr>
        <w:spacing w:after="100"/>
      </w:pPr>
      <w:r>
        <w:rPr>
          <w:rFonts w:ascii="Calibri" w:cs="Calibri" w:eastAsia="Calibri" w:hAnsi="Calibri"/>
          <w:sz w:val="22"/>
          <w:szCs w:val="22"/>
        </w:rPr>
        <w:t xml:space="preserve">La greffe est le traitement de référence de l'insuffisance rénale terminale. L'onglet </w:t>
      </w:r>
      <w:r>
        <w:rPr>
          <w:rFonts w:ascii="Calibri" w:cs="Calibri" w:eastAsia="Calibri" w:hAnsi="Calibri"/>
          <w:b/>
          <w:bCs/>
          <w:sz w:val="22"/>
          <w:szCs w:val="22"/>
        </w:rPr>
        <w:t xml:space="preserve">Greffe rénale</w:t>
      </w:r>
      <w:r>
        <w:rPr>
          <w:rFonts w:ascii="Calibri" w:cs="Calibri" w:eastAsia="Calibri" w:hAnsi="Calibri"/>
          <w:sz w:val="22"/>
          <w:szCs w:val="22"/>
        </w:rPr>
        <w:t xml:space="preserve"> du dossier médical suit l'éligibilité du patient, organise son bilan pré-greffe et réunit, pour le médecin, les éléments nécessaires à la décision de l'équipe de transplantation. Un </w:t>
      </w:r>
      <w:r>
        <w:rPr>
          <w:rFonts w:ascii="Calibri" w:cs="Calibri" w:eastAsia="Calibri" w:hAnsi="Calibri"/>
          <w:b/>
          <w:bCs/>
          <w:sz w:val="22"/>
          <w:szCs w:val="22"/>
        </w:rPr>
        <w:t xml:space="preserve">dossier PDF de synthèse</w:t>
      </w:r>
      <w:r>
        <w:rPr>
          <w:rFonts w:ascii="Calibri" w:cs="Calibri" w:eastAsia="Calibri" w:hAnsi="Calibri"/>
          <w:sz w:val="22"/>
          <w:szCs w:val="22"/>
        </w:rPr>
        <w:t xml:space="preserve"> peut être exporté pour le centre de greffe.</w:t>
      </w:r>
    </w:p>
    <w:p>
      <w:pPr>
        <w:pStyle w:val="Heading2"/>
      </w:pPr>
      <w:r>
        <w:rPr>
          <w:rFonts w:ascii="Calibri" w:cs="Calibri" w:eastAsia="Calibri" w:hAnsi="Calibri"/>
        </w:rPr>
        <w:t xml:space="preserve">Éligibilité et bilan immunologique</w:t>
      </w:r>
    </w:p>
    <w:p>
      <w:pPr>
        <w:spacing w:after="100"/>
      </w:pPr>
      <w:r>
        <w:rPr>
          <w:rFonts w:ascii="Calibri" w:cs="Calibri" w:eastAsia="Calibri" w:hAnsi="Calibri"/>
          <w:sz w:val="22"/>
          <w:szCs w:val="22"/>
        </w:rPr>
        <w:t xml:space="preserve">Le statut du patient évolue selon un parcours contrôlé : </w:t>
      </w:r>
      <w:r>
        <w:rPr>
          <w:rFonts w:ascii="Calibri" w:cs="Calibri" w:eastAsia="Calibri" w:hAnsi="Calibri"/>
          <w:b/>
          <w:bCs/>
          <w:sz w:val="22"/>
          <w:szCs w:val="22"/>
        </w:rPr>
        <w:t xml:space="preserve">Non débuté</w:t>
      </w:r>
      <w:r>
        <w:rPr>
          <w:rFonts w:ascii="Calibri" w:cs="Calibri" w:eastAsia="Calibri" w:hAnsi="Calibri"/>
          <w:sz w:val="22"/>
          <w:szCs w:val="22"/>
        </w:rPr>
        <w:t xml:space="preserve"> → </w:t>
      </w:r>
      <w:r>
        <w:rPr>
          <w:rFonts w:ascii="Calibri" w:cs="Calibri" w:eastAsia="Calibri" w:hAnsi="Calibri"/>
          <w:b/>
          <w:bCs/>
          <w:sz w:val="22"/>
          <w:szCs w:val="22"/>
        </w:rPr>
        <w:t xml:space="preserve">Bilan en cours</w:t>
      </w:r>
      <w:r>
        <w:rPr>
          <w:rFonts w:ascii="Calibri" w:cs="Calibri" w:eastAsia="Calibri" w:hAnsi="Calibri"/>
          <w:sz w:val="22"/>
          <w:szCs w:val="22"/>
        </w:rPr>
        <w:t xml:space="preserve"> → </w:t>
      </w:r>
      <w:r>
        <w:rPr>
          <w:rFonts w:ascii="Calibri" w:cs="Calibri" w:eastAsia="Calibri" w:hAnsi="Calibri"/>
          <w:b/>
          <w:bCs/>
          <w:sz w:val="22"/>
          <w:szCs w:val="22"/>
        </w:rPr>
        <w:t xml:space="preserve">Éligible</w:t>
      </w:r>
      <w:r>
        <w:rPr>
          <w:rFonts w:ascii="Calibri" w:cs="Calibri" w:eastAsia="Calibri" w:hAnsi="Calibri"/>
          <w:sz w:val="22"/>
          <w:szCs w:val="22"/>
        </w:rPr>
        <w:t xml:space="preserve"> → </w:t>
      </w:r>
      <w:r>
        <w:rPr>
          <w:rFonts w:ascii="Calibri" w:cs="Calibri" w:eastAsia="Calibri" w:hAnsi="Calibri"/>
          <w:b/>
          <w:bCs/>
          <w:sz w:val="22"/>
          <w:szCs w:val="22"/>
        </w:rPr>
        <w:t xml:space="preserve">Inscrit sur liste d'attente</w:t>
      </w:r>
      <w:r>
        <w:rPr>
          <w:rFonts w:ascii="Calibri" w:cs="Calibri" w:eastAsia="Calibri" w:hAnsi="Calibri"/>
          <w:sz w:val="22"/>
          <w:szCs w:val="22"/>
        </w:rPr>
        <w:t xml:space="preserve"> → </w:t>
      </w:r>
      <w:r>
        <w:rPr>
          <w:rFonts w:ascii="Calibri" w:cs="Calibri" w:eastAsia="Calibri" w:hAnsi="Calibri"/>
          <w:b/>
          <w:bCs/>
          <w:sz w:val="22"/>
          <w:szCs w:val="22"/>
        </w:rPr>
        <w:t xml:space="preserve">Greffe réalisée</w:t>
      </w:r>
      <w:r>
        <w:rPr>
          <w:rFonts w:ascii="Calibri" w:cs="Calibri" w:eastAsia="Calibri" w:hAnsi="Calibri"/>
          <w:sz w:val="22"/>
          <w:szCs w:val="22"/>
        </w:rPr>
        <w:t xml:space="preserve">, ainsi que les contre-indications temporaires ou définitives. Le système empêche les transitions incohérentes (par exemple, une inscription sur liste d'attente sans éligibilité préalable). Groupe sanguin confirmé, typage HLA et PRA (classes I et II) sont renseignés dans la carte « Bilan immunologique ».</w:t>
      </w:r>
    </w:p>
    <w:p>
      <w:pPr>
        <w:spacing w:after="40" w:before="80"/>
        <w:jc w:val="center"/>
      </w:pPr>
      <w:r>
        <w:drawing>
          <wp:inline distT="0" distB="0" distL="0" distR="0">
            <wp:extent cx="5715000" cy="3971925"/>
            <wp:effectExtent t="0" r="0" b="0" l="0"/>
            <wp:docPr id="1" name="img/30-greffe-haut.png" descr="img/30-greffe-haut.png" title="img/30-greffe-ha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26.</w:t>
      </w:r>
      <w:r>
        <w:rPr>
          <w:rFonts w:ascii="Calibri" w:cs="Calibri" w:eastAsia="Calibri" w:hAnsi="Calibri"/>
          <w:color w:val="5B6B75"/>
          <w:sz w:val="18"/>
          <w:szCs w:val="18"/>
        </w:rPr>
        <w:t xml:space="preserve"> Éligibilité, bilan immunologique et évaluation KDIGO.</w:t>
      </w:r>
    </w:p>
    <w:p>
      <w:pPr>
        <w:pStyle w:val="Heading2"/>
      </w:pPr>
      <w:r>
        <w:rPr>
          <w:rFonts w:ascii="Calibri" w:cs="Calibri" w:eastAsia="Calibri" w:hAnsi="Calibri"/>
        </w:rPr>
        <w:t xml:space="preserve">Évaluation KDIGO automatique</w:t>
      </w:r>
    </w:p>
    <w:p>
      <w:pPr>
        <w:pStyle w:val="ListParagraph"/>
        <w:numPr>
          <w:ilvl w:val="0"/>
          <w:numId w:val="2"/>
        </w:numPr>
        <w:spacing w:after="40"/>
      </w:pPr>
      <w:r>
        <w:rPr>
          <w:rFonts w:ascii="Calibri" w:cs="Calibri" w:eastAsia="Calibri" w:hAnsi="Calibri"/>
          <w:b/>
          <w:bCs/>
          <w:sz w:val="22"/>
          <w:szCs w:val="22"/>
        </w:rPr>
        <w:t xml:space="preserve">Risque immunologique</w:t>
      </w:r>
      <w:r>
        <w:rPr>
          <w:rFonts w:ascii="Calibri" w:cs="Calibri" w:eastAsia="Calibri" w:hAnsi="Calibri"/>
          <w:sz w:val="22"/>
          <w:szCs w:val="22"/>
        </w:rPr>
        <w:t xml:space="preserve"> : classé faible (PRA &lt; 20 %), intermédiaire (20 à 80 %) ou élevé (&gt; 80 %).</w:t>
      </w:r>
    </w:p>
    <w:p>
      <w:pPr>
        <w:pStyle w:val="ListParagraph"/>
        <w:numPr>
          <w:ilvl w:val="0"/>
          <w:numId w:val="2"/>
        </w:numPr>
        <w:spacing w:after="40"/>
      </w:pPr>
      <w:r>
        <w:rPr>
          <w:rFonts w:ascii="Calibri" w:cs="Calibri" w:eastAsia="Calibri" w:hAnsi="Calibri"/>
          <w:b/>
          <w:bCs/>
          <w:sz w:val="22"/>
          <w:szCs w:val="22"/>
        </w:rPr>
        <w:t xml:space="preserve">Fonction rénale résiduelle</w:t>
      </w:r>
      <w:r>
        <w:rPr>
          <w:rFonts w:ascii="Calibri" w:cs="Calibri" w:eastAsia="Calibri" w:hAnsi="Calibri"/>
          <w:sz w:val="22"/>
          <w:szCs w:val="22"/>
        </w:rPr>
        <w:t xml:space="preserve"> : débit de filtration glomérulaire estimé (formule CKD-EPI 2021) à partir de la dernière créatininémie, de l'âge et du sexe, avec le stade de maladie rénale chronique.</w:t>
      </w:r>
    </w:p>
    <w:p>
      <w:pPr>
        <w:pStyle w:val="ListParagraph"/>
        <w:numPr>
          <w:ilvl w:val="0"/>
          <w:numId w:val="2"/>
        </w:numPr>
        <w:spacing w:after="40"/>
      </w:pPr>
      <w:r>
        <w:rPr>
          <w:rFonts w:ascii="Calibri" w:cs="Calibri" w:eastAsia="Calibri" w:hAnsi="Calibri"/>
          <w:b/>
          <w:bCs/>
          <w:sz w:val="22"/>
          <w:szCs w:val="22"/>
        </w:rPr>
        <w:t xml:space="preserve">Alertes sérologiques</w:t>
      </w:r>
      <w:r>
        <w:rPr>
          <w:rFonts w:ascii="Calibri" w:cs="Calibri" w:eastAsia="Calibri" w:hAnsi="Calibri"/>
          <w:sz w:val="22"/>
          <w:szCs w:val="22"/>
        </w:rPr>
        <w:t xml:space="preserve"> : mise en avant des sérologies positives à risque (VIH, hépatite B, hépatite C, syphilis).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Aide à la décision.</w:t>
            </w:r>
            <w:r>
              <w:rPr>
                <w:rFonts w:ascii="Calibri" w:cs="Calibri" w:eastAsia="Calibri" w:hAnsi="Calibri"/>
                <w:sz w:val="21"/>
                <w:szCs w:val="21"/>
              </w:rPr>
              <w:t xml:space="preserve"> L'évaluation KDIGO est recalculée automatiquement à partir du dossier. Elle assiste le médecin sans jamais remplacer la décision de la réunion de concertation pluridisciplinaire (RCP).</w:t>
            </w:r>
          </w:p>
        </w:tc>
      </w:tr>
    </w:tbl>
    <w:p>
      <w:pPr>
        <w:spacing w:after="80"/>
      </w:pPr>
    </w:p>
    <w:p>
      <w:pPr>
        <w:pStyle w:val="Heading2"/>
      </w:pPr>
      <w:r>
        <w:rPr>
          <w:rFonts w:ascii="Calibri" w:cs="Calibri" w:eastAsia="Calibri" w:hAnsi="Calibri"/>
        </w:rPr>
        <w:t xml:space="preserve">Checklist du bilan pré-greffe</w:t>
      </w:r>
    </w:p>
    <w:p>
      <w:pPr>
        <w:spacing w:after="100"/>
      </w:pPr>
      <w:r>
        <w:rPr>
          <w:rFonts w:ascii="Calibri" w:cs="Calibri" w:eastAsia="Calibri" w:hAnsi="Calibri"/>
          <w:sz w:val="22"/>
          <w:szCs w:val="22"/>
        </w:rPr>
        <w:t xml:space="preserve">Une </w:t>
      </w:r>
      <w:r>
        <w:rPr>
          <w:rFonts w:ascii="Calibri" w:cs="Calibri" w:eastAsia="Calibri" w:hAnsi="Calibri"/>
          <w:b/>
          <w:bCs/>
          <w:sz w:val="22"/>
          <w:szCs w:val="22"/>
        </w:rPr>
        <w:t xml:space="preserve">liste standard d'examens</w:t>
      </w:r>
      <w:r>
        <w:rPr>
          <w:rFonts w:ascii="Calibri" w:cs="Calibri" w:eastAsia="Calibri" w:hAnsi="Calibri"/>
          <w:sz w:val="22"/>
          <w:szCs w:val="22"/>
        </w:rPr>
        <w:t xml:space="preserve"> (cardiologie, pneumologie, dentaire, ORL, digestif, psychiatrie, virologie, immunologie, vaccinations…) peut être générée en un clic ; le médecin ajoute ou retire librement des étapes pour chaque patient. Chaque étape a un statut (à faire, planifié, fait, non applicable), une date et un résultat.</w:t>
      </w:r>
    </w:p>
    <w:p>
      <w:pPr>
        <w:spacing w:after="40" w:before="80"/>
        <w:jc w:val="center"/>
      </w:pPr>
      <w:r>
        <w:drawing>
          <wp:inline distT="0" distB="0" distL="0" distR="0">
            <wp:extent cx="5715000" cy="3971925"/>
            <wp:effectExtent t="0" r="0" b="0" l="0"/>
            <wp:docPr id="1" name="img/31-greffe-checklist.png" descr="img/31-greffe-checklist.png" title="img/31-greffe-check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27.</w:t>
      </w:r>
      <w:r>
        <w:rPr>
          <w:rFonts w:ascii="Calibri" w:cs="Calibri" w:eastAsia="Calibri" w:hAnsi="Calibri"/>
          <w:color w:val="5B6B75"/>
          <w:sz w:val="18"/>
          <w:szCs w:val="18"/>
        </w:rPr>
        <w:t xml:space="preserve"> Checklist du bilan, regroupée par catégorie.</w:t>
      </w:r>
    </w:p>
    <w:p>
      <w:pPr>
        <w:pStyle w:val="Heading2"/>
      </w:pPr>
      <w:r>
        <w:rPr>
          <w:rFonts w:ascii="Calibri" w:cs="Calibri" w:eastAsia="Calibri" w:hAnsi="Calibri"/>
        </w:rPr>
        <w:t xml:space="preserve">Décisions de RCP et donneurs vivants</w:t>
      </w:r>
    </w:p>
    <w:p>
      <w:pPr>
        <w:spacing w:after="100"/>
      </w:pPr>
      <w:r>
        <w:rPr>
          <w:rFonts w:ascii="Calibri" w:cs="Calibri" w:eastAsia="Calibri" w:hAnsi="Calibri"/>
          <w:sz w:val="22"/>
          <w:szCs w:val="22"/>
        </w:rPr>
        <w:t xml:space="preserve">Les avis de la RCP (favorable, défavorable, ajourné) sont historisés avec leur compte rendu et la prochaine date de revue. Les </w:t>
      </w:r>
      <w:r>
        <w:rPr>
          <w:rFonts w:ascii="Calibri" w:cs="Calibri" w:eastAsia="Calibri" w:hAnsi="Calibri"/>
          <w:b/>
          <w:bCs/>
          <w:sz w:val="22"/>
          <w:szCs w:val="22"/>
        </w:rPr>
        <w:t xml:space="preserve">donneurs vivants candidats</w:t>
      </w:r>
      <w:r>
        <w:rPr>
          <w:rFonts w:ascii="Calibri" w:cs="Calibri" w:eastAsia="Calibri" w:hAnsi="Calibri"/>
          <w:sz w:val="22"/>
          <w:szCs w:val="22"/>
        </w:rPr>
        <w:t xml:space="preserve"> (lien de parenté, groupe sanguin, HLA, crossmatch, statut du bilan, décision finale) sont suivis individuellement.</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32-greffe-rcp.png" descr="img/32-greffe-rcp.png" title="img/32-greffe-r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28.</w:t>
            </w:r>
            <w:r>
              <w:rPr>
                <w:rFonts w:ascii="Calibri" w:cs="Calibri" w:eastAsia="Calibri" w:hAnsi="Calibri"/>
                <w:color w:val="5B6B75"/>
                <w:sz w:val="18"/>
                <w:szCs w:val="18"/>
              </w:rPr>
              <w:t xml:space="preserve"> Décisions de RCP et début de la liste des donneurs.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33-greffe-donneurs.png" descr="img/33-greffe-donneurs.png" title="img/33-greffe-donn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29.</w:t>
            </w:r>
            <w:r>
              <w:rPr>
                <w:rFonts w:ascii="Calibri" w:cs="Calibri" w:eastAsia="Calibri" w:hAnsi="Calibri"/>
                <w:color w:val="5B6B75"/>
                <w:sz w:val="18"/>
                <w:szCs w:val="18"/>
              </w:rPr>
              <w:t xml:space="preserve"> Donneurs vivants candidats.</w:t>
            </w:r>
          </w:p>
        </w:tc>
      </w:tr>
    </w:tbl>
    <w:p>
      <w:pPr>
        <w:spacing w:after="120"/>
      </w:pPr>
    </w:p>
    <w:p>
      <w:pPr>
        <w:pageBreakBefore/>
        <w:spacing w:after="40" w:before="0"/>
      </w:pPr>
      <w:r>
        <w:rPr>
          <w:b/>
          <w:bCs/>
          <w:color w:val="14766E"/>
          <w:spacing w:val="40"/>
          <w:sz w:val="18"/>
          <w:szCs w:val="18"/>
        </w:rPr>
        <w:t xml:space="preserve">CHAPITRE 8</w:t>
      </w:r>
    </w:p>
    <w:p>
      <w:pPr>
        <w:pStyle w:val="Heading1"/>
      </w:pPr>
      <w:r>
        <w:t xml:space="preserve">Séances de dialyse</w:t>
      </w:r>
    </w:p>
    <w:p>
      <w:pPr>
        <w:spacing w:after="200"/>
      </w:pPr>
      <w:r>
        <w:rPr>
          <w:i/>
          <w:iCs/>
          <w:color w:val="5B6B75"/>
          <w:sz w:val="24"/>
          <w:szCs w:val="24"/>
        </w:rPr>
        <w:t xml:space="preserve">Planifier, identifier le patient, saisir, tracer.</w:t>
      </w:r>
    </w:p>
    <w:p>
      <w:pPr>
        <w:pStyle w:val="Heading2"/>
      </w:pPr>
      <w:r>
        <w:rPr>
          <w:rFonts w:ascii="Calibri" w:cs="Calibri" w:eastAsia="Calibri" w:hAnsi="Calibri"/>
        </w:rPr>
        <w:t xml:space="preserve">Tableau de bord des séances</w:t>
      </w:r>
    </w:p>
    <w:p>
      <w:pPr>
        <w:spacing w:after="100"/>
      </w:pPr>
      <w:r>
        <w:rPr>
          <w:rFonts w:ascii="Calibri" w:cs="Calibri" w:eastAsia="Calibri" w:hAnsi="Calibri"/>
          <w:sz w:val="22"/>
          <w:szCs w:val="22"/>
        </w:rPr>
        <w:t xml:space="preserve">Indicateurs du mois : séances prévues, présences, absences, séances totales ; répartition présence / absence, par sexe et par âge. Exports </w:t>
      </w:r>
      <w:r>
        <w:rPr>
          <w:rFonts w:ascii="Calibri" w:cs="Calibri" w:eastAsia="Calibri" w:hAnsi="Calibri"/>
          <w:b/>
          <w:bCs/>
          <w:sz w:val="22"/>
          <w:szCs w:val="22"/>
        </w:rPr>
        <w:t xml:space="preserve">CSV, PDF et XLSX</w:t>
      </w:r>
      <w:r>
        <w:rPr>
          <w:rFonts w:ascii="Calibri" w:cs="Calibri" w:eastAsia="Calibri" w:hAnsi="Calibri"/>
          <w:sz w:val="22"/>
          <w:szCs w:val="22"/>
        </w:rPr>
        <w:t xml:space="preserve">.</w:t>
      </w:r>
    </w:p>
    <w:p>
      <w:pPr>
        <w:spacing w:after="40" w:before="80"/>
        <w:jc w:val="center"/>
      </w:pPr>
      <w:r>
        <w:drawing>
          <wp:inline distT="0" distB="0" distL="0" distR="0">
            <wp:extent cx="5715000" cy="3971925"/>
            <wp:effectExtent t="0" r="0" b="0" l="0"/>
            <wp:docPr id="1" name="img/40-seances.png" descr="img/40-seances.png" title="img/40-sea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30.</w:t>
      </w:r>
      <w:r>
        <w:rPr>
          <w:rFonts w:ascii="Calibri" w:cs="Calibri" w:eastAsia="Calibri" w:hAnsi="Calibri"/>
          <w:color w:val="5B6B75"/>
          <w:sz w:val="18"/>
          <w:szCs w:val="18"/>
        </w:rPr>
        <w:t xml:space="preserve"> Tableau de bord des séances du mois.</w:t>
      </w:r>
    </w:p>
    <w:p>
      <w:pPr>
        <w:pStyle w:val="Heading2"/>
      </w:pPr>
      <w:r>
        <w:rPr>
          <w:rFonts w:ascii="Calibri" w:cs="Calibri" w:eastAsia="Calibri" w:hAnsi="Calibri"/>
        </w:rPr>
        <w:t xml:space="preserve">Identification du patient par QR code</w:t>
      </w:r>
    </w:p>
    <w:p>
      <w:pPr>
        <w:spacing w:after="100"/>
      </w:pPr>
      <w:r>
        <w:rPr>
          <w:rFonts w:ascii="Calibri" w:cs="Calibri" w:eastAsia="Calibri" w:hAnsi="Calibri"/>
          <w:sz w:val="22"/>
          <w:szCs w:val="22"/>
        </w:rPr>
        <w:t xml:space="preserve">Chaque patient dispose d'une carte QR. En début de séance, l'infirmier </w:t>
      </w:r>
      <w:r>
        <w:rPr>
          <w:rFonts w:ascii="Calibri" w:cs="Calibri" w:eastAsia="Calibri" w:hAnsi="Calibri"/>
          <w:b/>
          <w:bCs/>
          <w:sz w:val="22"/>
          <w:szCs w:val="22"/>
        </w:rPr>
        <w:t xml:space="preserve">scanne le code</w:t>
      </w:r>
      <w:r>
        <w:rPr>
          <w:rFonts w:ascii="Calibri" w:cs="Calibri" w:eastAsia="Calibri" w:hAnsi="Calibri"/>
          <w:sz w:val="22"/>
          <w:szCs w:val="22"/>
        </w:rPr>
        <w:t xml:space="preserve"> (saisie, image ou caméra du poste) pour ouvrir immédiatement la séance du patient.</w:t>
      </w:r>
    </w:p>
    <w:p>
      <w:pPr>
        <w:pStyle w:val="Heading2"/>
      </w:pPr>
      <w:r>
        <w:rPr>
          <w:rFonts w:ascii="Calibri" w:cs="Calibri" w:eastAsia="Calibri" w:hAnsi="Calibri"/>
        </w:rPr>
        <w:t xml:space="preserve">Saisie de la séance</w:t>
      </w:r>
    </w:p>
    <w:p>
      <w:pPr>
        <w:spacing w:after="100"/>
      </w:pPr>
      <w:r>
        <w:rPr>
          <w:rFonts w:ascii="Calibri" w:cs="Calibri" w:eastAsia="Calibri" w:hAnsi="Calibri"/>
          <w:sz w:val="22"/>
          <w:szCs w:val="22"/>
        </w:rPr>
        <w:t xml:space="preserve">La liste des séances est filtrable par patient, statut et forfait. En cliquant sur </w:t>
      </w:r>
      <w:r>
        <w:rPr>
          <w:rFonts w:ascii="Calibri" w:cs="Calibri" w:eastAsia="Calibri" w:hAnsi="Calibri"/>
          <w:b/>
          <w:bCs/>
          <w:sz w:val="22"/>
          <w:szCs w:val="22"/>
        </w:rPr>
        <w:t xml:space="preserve">Modifier</w:t>
      </w:r>
      <w:r>
        <w:rPr>
          <w:rFonts w:ascii="Calibri" w:cs="Calibri" w:eastAsia="Calibri" w:hAnsi="Calibri"/>
          <w:sz w:val="22"/>
          <w:szCs w:val="22"/>
        </w:rPr>
        <w:t xml:space="preserve">, le volet de saisie s'ouvre à côté de la liste :</w:t>
      </w:r>
    </w:p>
    <w:p>
      <w:pPr>
        <w:pStyle w:val="ListParagraph"/>
        <w:numPr>
          <w:ilvl w:val="0"/>
          <w:numId w:val="2"/>
        </w:numPr>
        <w:spacing w:after="40"/>
      </w:pPr>
      <w:r>
        <w:rPr>
          <w:rFonts w:ascii="Calibri" w:cs="Calibri" w:eastAsia="Calibri" w:hAnsi="Calibri"/>
          <w:b/>
          <w:bCs/>
          <w:sz w:val="22"/>
          <w:szCs w:val="22"/>
        </w:rPr>
        <w:t xml:space="preserve">Forfait de séance</w:t>
      </w:r>
      <w:r>
        <w:rPr>
          <w:rFonts w:ascii="Calibri" w:cs="Calibri" w:eastAsia="Calibri" w:hAnsi="Calibri"/>
          <w:sz w:val="22"/>
          <w:szCs w:val="22"/>
        </w:rPr>
        <w:t xml:space="preserve"> et son tarif ;</w:t>
      </w:r>
    </w:p>
    <w:p>
      <w:pPr>
        <w:pStyle w:val="ListParagraph"/>
        <w:numPr>
          <w:ilvl w:val="0"/>
          <w:numId w:val="2"/>
        </w:numPr>
        <w:spacing w:after="40"/>
      </w:pPr>
      <w:r>
        <w:rPr>
          <w:rFonts w:ascii="Calibri" w:cs="Calibri" w:eastAsia="Calibri" w:hAnsi="Calibri"/>
          <w:b/>
          <w:bCs/>
          <w:sz w:val="22"/>
          <w:szCs w:val="22"/>
        </w:rPr>
        <w:t xml:space="preserve">Volet paramédical</w:t>
      </w:r>
      <w:r>
        <w:rPr>
          <w:rFonts w:ascii="Calibri" w:cs="Calibri" w:eastAsia="Calibri" w:hAnsi="Calibri"/>
          <w:sz w:val="22"/>
          <w:szCs w:val="22"/>
        </w:rPr>
        <w:t xml:space="preserve"> : tension avant / après, poids avant / après, durée, débit sanguin, ultrafiltration, anticoagulant, type de dialysat, incidents et remarques (éditeur de texte enrichi) ;</w:t>
      </w:r>
    </w:p>
    <w:p>
      <w:pPr>
        <w:pStyle w:val="ListParagraph"/>
        <w:numPr>
          <w:ilvl w:val="0"/>
          <w:numId w:val="2"/>
        </w:numPr>
        <w:spacing w:after="40"/>
      </w:pPr>
      <w:r>
        <w:rPr>
          <w:rFonts w:ascii="Calibri" w:cs="Calibri" w:eastAsia="Calibri" w:hAnsi="Calibri"/>
          <w:b/>
          <w:bCs/>
          <w:sz w:val="22"/>
          <w:szCs w:val="22"/>
        </w:rPr>
        <w:t xml:space="preserve">Consommables</w:t>
      </w:r>
      <w:r>
        <w:rPr>
          <w:rFonts w:ascii="Calibri" w:cs="Calibri" w:eastAsia="Calibri" w:hAnsi="Calibri"/>
          <w:sz w:val="22"/>
          <w:szCs w:val="22"/>
        </w:rPr>
        <w:t xml:space="preserve"> utilisés pendant la séance, décomptés du stock ;</w:t>
      </w:r>
    </w:p>
    <w:p>
      <w:pPr>
        <w:pStyle w:val="ListParagraph"/>
        <w:numPr>
          <w:ilvl w:val="0"/>
          <w:numId w:val="2"/>
        </w:numPr>
        <w:spacing w:after="40"/>
      </w:pPr>
      <w:r>
        <w:rPr>
          <w:rFonts w:ascii="Calibri" w:cs="Calibri" w:eastAsia="Calibri" w:hAnsi="Calibri"/>
          <w:b/>
          <w:bCs/>
          <w:sz w:val="22"/>
          <w:szCs w:val="22"/>
        </w:rPr>
        <w:t xml:space="preserve">Administration EPO / Fer</w:t>
      </w:r>
      <w:r>
        <w:rPr>
          <w:rFonts w:ascii="Calibri" w:cs="Calibri" w:eastAsia="Calibri" w:hAnsi="Calibri"/>
          <w:sz w:val="22"/>
          <w:szCs w:val="22"/>
        </w:rPr>
        <w:t xml:space="preserve"> (voir chapitre 6).</w:t>
      </w:r>
    </w:p>
    <w:p>
      <w:pPr>
        <w:spacing w:after="40" w:before="80"/>
        <w:jc w:val="center"/>
      </w:pPr>
      <w:r>
        <w:drawing>
          <wp:inline distT="0" distB="0" distL="0" distR="0">
            <wp:extent cx="3105150" cy="6096000"/>
            <wp:effectExtent t="0" r="0" b="0" l="0"/>
            <wp:docPr id="1" name="img/41-seance-detail.png" descr="img/41-seance-detail.png" title="img/41-seance-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05150" cy="6096000"/>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31.</w:t>
      </w:r>
      <w:r>
        <w:rPr>
          <w:rFonts w:ascii="Calibri" w:cs="Calibri" w:eastAsia="Calibri" w:hAnsi="Calibri"/>
          <w:color w:val="5B6B75"/>
          <w:sz w:val="18"/>
          <w:szCs w:val="18"/>
        </w:rPr>
        <w:t xml:space="preserve"> Volet de saisie d'une séance : forfait, paramètres paramédicaux, incidents.</w:t>
      </w:r>
    </w:p>
    <w:p>
      <w:pPr>
        <w:spacing w:after="40" w:before="80"/>
        <w:jc w:val="center"/>
      </w:pPr>
      <w:r>
        <w:drawing>
          <wp:inline distT="0" distB="0" distL="0" distR="0">
            <wp:extent cx="3819525" cy="6096000"/>
            <wp:effectExtent t="0" r="0" b="0" l="0"/>
            <wp:docPr id="1" name="img/42-seance-consommables.png" descr="img/42-seance-consommables.png" title="img/42-seance-consomm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19525" cy="6096000"/>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32.</w:t>
      </w:r>
      <w:r>
        <w:rPr>
          <w:rFonts w:ascii="Calibri" w:cs="Calibri" w:eastAsia="Calibri" w:hAnsi="Calibri"/>
          <w:color w:val="5B6B75"/>
          <w:sz w:val="18"/>
          <w:szCs w:val="18"/>
        </w:rPr>
        <w:t xml:space="preserve"> Onglet Consommables.</w:t>
      </w:r>
    </w:p>
    <w:p>
      <w:pPr>
        <w:pStyle w:val="Heading2"/>
      </w:pPr>
      <w:r>
        <w:rPr>
          <w:rFonts w:ascii="Calibri" w:cs="Calibri" w:eastAsia="Calibri" w:hAnsi="Calibri"/>
        </w:rPr>
        <w:t xml:space="preserve">Calendrier du centre</w:t>
      </w:r>
    </w:p>
    <w:p>
      <w:pPr>
        <w:spacing w:after="100"/>
      </w:pPr>
      <w:r>
        <w:rPr>
          <w:rFonts w:ascii="Calibri" w:cs="Calibri" w:eastAsia="Calibri" w:hAnsi="Calibri"/>
          <w:sz w:val="22"/>
          <w:szCs w:val="22"/>
        </w:rPr>
        <w:t xml:space="preserve">Le calendrier clinique du centre gère les </w:t>
      </w:r>
      <w:r>
        <w:rPr>
          <w:rFonts w:ascii="Calibri" w:cs="Calibri" w:eastAsia="Calibri" w:hAnsi="Calibri"/>
          <w:b/>
          <w:bCs/>
          <w:sz w:val="22"/>
          <w:szCs w:val="22"/>
        </w:rPr>
        <w:t xml:space="preserve">jours fériés</w:t>
      </w:r>
      <w:r>
        <w:rPr>
          <w:rFonts w:ascii="Calibri" w:cs="Calibri" w:eastAsia="Calibri" w:hAnsi="Calibri"/>
          <w:sz w:val="22"/>
          <w:szCs w:val="22"/>
        </w:rPr>
        <w:t xml:space="preserve"> et </w:t>
      </w:r>
      <w:r>
        <w:rPr>
          <w:rFonts w:ascii="Calibri" w:cs="Calibri" w:eastAsia="Calibri" w:hAnsi="Calibri"/>
          <w:b/>
          <w:bCs/>
          <w:sz w:val="22"/>
          <w:szCs w:val="22"/>
        </w:rPr>
        <w:t xml:space="preserve">jours de fermeture</w:t>
      </w:r>
      <w:r>
        <w:rPr>
          <w:rFonts w:ascii="Calibri" w:cs="Calibri" w:eastAsia="Calibri" w:hAnsi="Calibri"/>
          <w:sz w:val="22"/>
          <w:szCs w:val="22"/>
        </w:rPr>
        <w:t xml:space="preserve"> utilisés dans le calcul des absences, avec exports CSV, PDF et XLSX du mois.</w:t>
      </w:r>
    </w:p>
    <w:p>
      <w:pPr>
        <w:spacing w:after="40" w:before="80"/>
        <w:jc w:val="center"/>
      </w:pPr>
      <w:r>
        <w:drawing>
          <wp:inline distT="0" distB="0" distL="0" distR="0">
            <wp:extent cx="5715000" cy="3971925"/>
            <wp:effectExtent t="0" r="0" b="0" l="0"/>
            <wp:docPr id="1" name="img/43-calendrier.png" descr="img/43-calendrier.png" title="img/43-calendr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33.</w:t>
      </w:r>
      <w:r>
        <w:rPr>
          <w:rFonts w:ascii="Calibri" w:cs="Calibri" w:eastAsia="Calibri" w:hAnsi="Calibri"/>
          <w:color w:val="5B6B75"/>
          <w:sz w:val="18"/>
          <w:szCs w:val="18"/>
        </w:rPr>
        <w:t xml:space="preserve"> Calendrier clinique du centre.</w:t>
      </w:r>
    </w:p>
    <w:p>
      <w:pPr>
        <w:pageBreakBefore/>
        <w:spacing w:after="40" w:before="0"/>
      </w:pPr>
      <w:r>
        <w:rPr>
          <w:b/>
          <w:bCs/>
          <w:color w:val="14766E"/>
          <w:spacing w:val="40"/>
          <w:sz w:val="18"/>
          <w:szCs w:val="18"/>
        </w:rPr>
        <w:t xml:space="preserve">CHAPITRE 9</w:t>
      </w:r>
    </w:p>
    <w:p>
      <w:pPr>
        <w:pStyle w:val="Heading1"/>
      </w:pPr>
      <w:r>
        <w:t xml:space="preserve">Gestion du stock</w:t>
      </w:r>
    </w:p>
    <w:p>
      <w:pPr>
        <w:spacing w:after="200"/>
      </w:pPr>
      <w:r>
        <w:rPr>
          <w:i/>
          <w:iCs/>
          <w:color w:val="5B6B75"/>
          <w:sz w:val="24"/>
          <w:szCs w:val="24"/>
        </w:rPr>
        <w:t xml:space="preserve">Valorisation en temps réel et traçabilité du lot jusqu'au patient.</w:t>
      </w:r>
    </w:p>
    <w:p>
      <w:pPr>
        <w:spacing w:after="100"/>
      </w:pPr>
      <w:r>
        <w:rPr>
          <w:rFonts w:ascii="Calibri" w:cs="Calibri" w:eastAsia="Calibri" w:hAnsi="Calibri"/>
          <w:sz w:val="22"/>
          <w:szCs w:val="22"/>
        </w:rPr>
        <w:t xml:space="preserve">Le stock est valorisé au </w:t>
      </w:r>
      <w:r>
        <w:rPr>
          <w:rFonts w:ascii="Calibri" w:cs="Calibri" w:eastAsia="Calibri" w:hAnsi="Calibri"/>
          <w:b/>
          <w:bCs/>
          <w:sz w:val="22"/>
          <w:szCs w:val="22"/>
        </w:rPr>
        <w:t xml:space="preserve">prix moyen pondéré (PMP)</w:t>
      </w:r>
      <w:r>
        <w:rPr>
          <w:rFonts w:ascii="Calibri" w:cs="Calibri" w:eastAsia="Calibri" w:hAnsi="Calibri"/>
          <w:sz w:val="22"/>
          <w:szCs w:val="22"/>
        </w:rPr>
        <w:t xml:space="preserve">, recalculé à chaque réception. Les articles gérés par lot imposent la saisie du numéro de lot et de la date de péremption ; les sorties suivent la règle </w:t>
      </w:r>
      <w:r>
        <w:rPr>
          <w:rFonts w:ascii="Calibri" w:cs="Calibri" w:eastAsia="Calibri" w:hAnsi="Calibri"/>
          <w:b/>
          <w:bCs/>
          <w:sz w:val="22"/>
          <w:szCs w:val="22"/>
        </w:rPr>
        <w:t xml:space="preserve">FEFO</w:t>
      </w:r>
      <w:r>
        <w:rPr>
          <w:rFonts w:ascii="Calibri" w:cs="Calibri" w:eastAsia="Calibri" w:hAnsi="Calibri"/>
          <w:sz w:val="22"/>
          <w:szCs w:val="22"/>
        </w:rPr>
        <w:t xml:space="preserve"> (le lot qui périme en premier sort en premier). La traçabilité est complète : </w:t>
      </w:r>
      <w:r>
        <w:rPr>
          <w:rFonts w:ascii="Calibri" w:cs="Calibri" w:eastAsia="Calibri" w:hAnsi="Calibri"/>
          <w:b/>
          <w:bCs/>
          <w:sz w:val="22"/>
          <w:szCs w:val="22"/>
        </w:rPr>
        <w:t xml:space="preserve">lot → patient → séance</w:t>
      </w:r>
      <w:r>
        <w:rPr>
          <w:rFonts w:ascii="Calibri" w:cs="Calibri" w:eastAsia="Calibri" w:hAnsi="Calibri"/>
          <w:sz w:val="22"/>
          <w:szCs w:val="22"/>
        </w:rPr>
        <w:t xml:space="preserve">.</w:t>
      </w:r>
    </w:p>
    <w:p>
      <w:pPr>
        <w:spacing w:after="40" w:before="80"/>
        <w:jc w:val="center"/>
      </w:pPr>
      <w:r>
        <w:drawing>
          <wp:inline distT="0" distB="0" distL="0" distR="0">
            <wp:extent cx="5715000" cy="3971925"/>
            <wp:effectExtent t="0" r="0" b="0" l="0"/>
            <wp:docPr id="1" name="img/60-stock.png" descr="img/60-stock.png" title="img/60-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34.</w:t>
      </w:r>
      <w:r>
        <w:rPr>
          <w:rFonts w:ascii="Calibri" w:cs="Calibri" w:eastAsia="Calibri" w:hAnsi="Calibri"/>
          <w:color w:val="5B6B75"/>
          <w:sz w:val="18"/>
          <w:szCs w:val="18"/>
        </w:rPr>
        <w:t xml:space="preserve"> Tableau de bord du stock : valeur, quantités, alertes, préemptions, tendance des mouvements.</w:t>
      </w:r>
    </w:p>
    <w:p>
      <w:pPr>
        <w:pStyle w:val="Heading2"/>
      </w:pPr>
      <w:r>
        <w:rPr>
          <w:rFonts w:ascii="Calibri" w:cs="Calibri" w:eastAsia="Calibri" w:hAnsi="Calibri"/>
        </w:rPr>
        <w:t xml:space="preserve">Circuit d'approvisionnement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515"/>
        <w:gridCol w:w="2222"/>
        <w:gridCol w:w="6063"/>
      </w:tblGrid>
      <w:tr>
        <w:trPr>
          <w:tblHeader/>
        </w:trPr>
        <w:tc>
          <w:tcPr>
            <w:tcW w:type="dxa" w:w="1515"/>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Étape</w:t>
            </w:r>
          </w:p>
        </w:tc>
        <w:tc>
          <w:tcPr>
            <w:tcW w:type="dxa" w:w="2222"/>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Écran</w:t>
            </w:r>
          </w:p>
        </w:tc>
        <w:tc>
          <w:tcPr>
            <w:tcW w:type="dxa" w:w="6063"/>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Fonction</w:t>
            </w:r>
          </w:p>
        </w:tc>
      </w:tr>
      <w:tr>
        <w:trPr>
          <w:tblHeader w:val="false"/>
        </w:trPr>
        <w:tc>
          <w:tcPr>
            <w:tcW w:type="dxa" w:w="1515"/>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1. Référentiel</w:t>
            </w:r>
          </w:p>
        </w:tc>
        <w:tc>
          <w:tcPr>
            <w:tcW w:type="dxa" w:w="2222"/>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Articles, Fournisseurs</w:t>
            </w:r>
          </w:p>
        </w:tc>
        <w:tc>
          <w:tcPr>
            <w:tcW w:type="dxa" w:w="6063"/>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Création des articles (code, libellé, unité, seuil d'alerte, gestion par lot, article de traitement de l'anémie) et des fournisseurs.</w:t>
            </w:r>
          </w:p>
        </w:tc>
      </w:tr>
      <w:tr>
        <w:trPr>
          <w:tblHeader w:val="false"/>
        </w:trPr>
        <w:tc>
          <w:tcPr>
            <w:tcW w:type="dxa" w:w="1515"/>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2. Commande</w:t>
            </w:r>
          </w:p>
        </w:tc>
        <w:tc>
          <w:tcPr>
            <w:tcW w:type="dxa" w:w="2222"/>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Bons de commande</w:t>
            </w:r>
          </w:p>
        </w:tc>
        <w:tc>
          <w:tcPr>
            <w:tcW w:type="dxa" w:w="6063"/>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Commande auprès d'un fournisseur, lignes article / quantité / prix.</w:t>
            </w:r>
          </w:p>
        </w:tc>
      </w:tr>
      <w:tr>
        <w:trPr>
          <w:tblHeader w:val="false"/>
        </w:trPr>
        <w:tc>
          <w:tcPr>
            <w:tcW w:type="dxa" w:w="1515"/>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3. Réception</w:t>
            </w:r>
          </w:p>
        </w:tc>
        <w:tc>
          <w:tcPr>
            <w:tcW w:type="dxa" w:w="2222"/>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Bons de réception</w:t>
            </w:r>
          </w:p>
        </w:tc>
        <w:tc>
          <w:tcPr>
            <w:tcW w:type="dxa" w:w="6063"/>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Saisie des lots (n° de lot, péremption) ; la validation calcule le PMP.</w:t>
            </w:r>
          </w:p>
        </w:tc>
      </w:tr>
      <w:tr>
        <w:trPr>
          <w:tblHeader w:val="false"/>
        </w:trPr>
        <w:tc>
          <w:tcPr>
            <w:tcW w:type="dxa" w:w="1515"/>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4. Consommation</w:t>
            </w:r>
          </w:p>
        </w:tc>
        <w:tc>
          <w:tcPr>
            <w:tcW w:type="dxa" w:w="2222"/>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Bons de sortie</w:t>
            </w:r>
          </w:p>
        </w:tc>
        <w:tc>
          <w:tcPr>
            <w:tcW w:type="dxa" w:w="6063"/>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Sorties de stock numérotées, avec lots proposés par ordre de péremption (FEFO) ; les sorties issues d'une séance sont rattachées au patient et à la séance.</w:t>
            </w:r>
          </w:p>
        </w:tc>
      </w:tr>
    </w:tbl>
    <w:p>
      <w:pPr>
        <w:spacing w:after="120"/>
      </w:pP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1-articles.png" descr="img/61-articles.png" title="img/61-artic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35.</w:t>
            </w:r>
            <w:r>
              <w:rPr>
                <w:rFonts w:ascii="Calibri" w:cs="Calibri" w:eastAsia="Calibri" w:hAnsi="Calibri"/>
                <w:color w:val="5B6B75"/>
                <w:sz w:val="18"/>
                <w:szCs w:val="18"/>
              </w:rPr>
              <w:t xml:space="preserve"> Référentiel des articles.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2-bons-commande.png" descr="img/62-bons-commande.png" title="img/62-bons-comman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36.</w:t>
            </w:r>
            <w:r>
              <w:rPr>
                <w:rFonts w:ascii="Calibri" w:cs="Calibri" w:eastAsia="Calibri" w:hAnsi="Calibri"/>
                <w:color w:val="5B6B75"/>
                <w:sz w:val="18"/>
                <w:szCs w:val="18"/>
              </w:rPr>
              <w:t xml:space="preserve"> Bons de commande.</w:t>
            </w:r>
          </w:p>
        </w:tc>
      </w:tr>
    </w:tbl>
    <w:p>
      <w:pPr>
        <w:spacing w:after="120"/>
      </w:pP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3-bons-reception.png" descr="img/63-bons-reception.png" title="img/63-bons-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37.</w:t>
            </w:r>
            <w:r>
              <w:rPr>
                <w:rFonts w:ascii="Calibri" w:cs="Calibri" w:eastAsia="Calibri" w:hAnsi="Calibri"/>
                <w:color w:val="5B6B75"/>
                <w:sz w:val="18"/>
                <w:szCs w:val="18"/>
              </w:rPr>
              <w:t xml:space="preserve"> Bons de réception.</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64-bons-sortie.png" descr="img/64-bons-sortie.png" title="img/64-bons-sort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38.</w:t>
            </w:r>
            <w:r>
              <w:rPr>
                <w:rFonts w:ascii="Calibri" w:cs="Calibri" w:eastAsia="Calibri" w:hAnsi="Calibri"/>
                <w:color w:val="5B6B75"/>
                <w:sz w:val="18"/>
                <w:szCs w:val="18"/>
              </w:rPr>
              <w:t xml:space="preserve"> Bons de sortie.</w:t>
            </w:r>
          </w:p>
        </w:tc>
      </w:tr>
    </w:tbl>
    <w:p>
      <w:pPr>
        <w:spacing w:after="120"/>
      </w:pPr>
    </w:p>
    <w:p>
      <w:pPr>
        <w:spacing w:after="40" w:before="80"/>
        <w:jc w:val="center"/>
      </w:pPr>
      <w:r>
        <w:drawing>
          <wp:inline distT="0" distB="0" distL="0" distR="0">
            <wp:extent cx="5715000" cy="3971925"/>
            <wp:effectExtent t="0" r="0" b="0" l="0"/>
            <wp:docPr id="1" name="img/65-fournisseurs.png" descr="img/65-fournisseurs.png" title="img/65-fourniss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39.</w:t>
      </w:r>
      <w:r>
        <w:rPr>
          <w:rFonts w:ascii="Calibri" w:cs="Calibri" w:eastAsia="Calibri" w:hAnsi="Calibri"/>
          <w:color w:val="5B6B75"/>
          <w:sz w:val="18"/>
          <w:szCs w:val="18"/>
        </w:rPr>
        <w:t xml:space="preserve"> Fournisseurs.</w:t>
      </w:r>
    </w:p>
    <w:p>
      <w:pPr>
        <w:pageBreakBefore/>
        <w:spacing w:after="40" w:before="0"/>
      </w:pPr>
      <w:r>
        <w:rPr>
          <w:b/>
          <w:bCs/>
          <w:color w:val="14766E"/>
          <w:spacing w:val="40"/>
          <w:sz w:val="18"/>
          <w:szCs w:val="18"/>
        </w:rPr>
        <w:t xml:space="preserve">CHAPITRE 10</w:t>
      </w:r>
    </w:p>
    <w:p>
      <w:pPr>
        <w:pStyle w:val="Heading1"/>
      </w:pPr>
      <w:r>
        <w:t xml:space="preserve">Facturation, règlements, comptabilité</w:t>
      </w:r>
    </w:p>
    <w:p>
      <w:pPr>
        <w:spacing w:after="200"/>
      </w:pPr>
      <w:r>
        <w:rPr>
          <w:i/>
          <w:iCs/>
          <w:color w:val="5B6B75"/>
          <w:sz w:val="24"/>
          <w:szCs w:val="24"/>
        </w:rPr>
        <w:t xml:space="preserve">De la séance réalisée à l'écriture comptable.</w:t>
      </w:r>
    </w:p>
    <w:p>
      <w:pPr>
        <w:pStyle w:val="Heading2"/>
      </w:pPr>
      <w:r>
        <w:rPr>
          <w:rFonts w:ascii="Calibri" w:cs="Calibri" w:eastAsia="Calibri" w:hAnsi="Calibri"/>
        </w:rPr>
        <w:t xml:space="preserve">Facturation des séances</w:t>
      </w:r>
    </w:p>
    <w:p>
      <w:pPr>
        <w:spacing w:after="100"/>
      </w:pPr>
      <w:r>
        <w:rPr>
          <w:rFonts w:ascii="Calibri" w:cs="Calibri" w:eastAsia="Calibri" w:hAnsi="Calibri"/>
          <w:sz w:val="22"/>
          <w:szCs w:val="22"/>
        </w:rPr>
        <w:t xml:space="preserve">La facturation suit un cycle en trois étapes : </w:t>
      </w:r>
      <w:r>
        <w:rPr>
          <w:rFonts w:ascii="Calibri" w:cs="Calibri" w:eastAsia="Calibri" w:hAnsi="Calibri"/>
          <w:b/>
          <w:bCs/>
          <w:sz w:val="22"/>
          <w:szCs w:val="22"/>
        </w:rPr>
        <w:t xml:space="preserve">1. Sélection</w:t>
      </w:r>
      <w:r>
        <w:rPr>
          <w:rFonts w:ascii="Calibri" w:cs="Calibri" w:eastAsia="Calibri" w:hAnsi="Calibri"/>
          <w:sz w:val="22"/>
          <w:szCs w:val="22"/>
        </w:rPr>
        <w:t xml:space="preserve"> d'un mois (ou d'une période libre), </w:t>
      </w:r>
      <w:r>
        <w:rPr>
          <w:rFonts w:ascii="Calibri" w:cs="Calibri" w:eastAsia="Calibri" w:hAnsi="Calibri"/>
          <w:b/>
          <w:bCs/>
          <w:sz w:val="22"/>
          <w:szCs w:val="22"/>
        </w:rPr>
        <w:t xml:space="preserve">2. Aperçu</w:t>
      </w:r>
      <w:r>
        <w:rPr>
          <w:rFonts w:ascii="Calibri" w:cs="Calibri" w:eastAsia="Calibri" w:hAnsi="Calibri"/>
          <w:sz w:val="22"/>
          <w:szCs w:val="22"/>
        </w:rPr>
        <w:t xml:space="preserve"> calculé en mémoire avec montants HT / TVA / TTC pour vérification, </w:t>
      </w:r>
      <w:r>
        <w:rPr>
          <w:rFonts w:ascii="Calibri" w:cs="Calibri" w:eastAsia="Calibri" w:hAnsi="Calibri"/>
          <w:b/>
          <w:bCs/>
          <w:sz w:val="22"/>
          <w:szCs w:val="22"/>
        </w:rPr>
        <w:t xml:space="preserve">3. Validation</w:t>
      </w:r>
      <w:r>
        <w:rPr>
          <w:rFonts w:ascii="Calibri" w:cs="Calibri" w:eastAsia="Calibri" w:hAnsi="Calibri"/>
          <w:sz w:val="22"/>
          <w:szCs w:val="22"/>
        </w:rPr>
        <w:t xml:space="preserve"> qui enregistre les factures et marque les séances comme facturées. Une synthèse mensuelle est imprimable.</w:t>
      </w:r>
    </w:p>
    <w:p>
      <w:pPr>
        <w:spacing w:after="40" w:before="80"/>
        <w:jc w:val="center"/>
      </w:pPr>
      <w:r>
        <w:drawing>
          <wp:inline distT="0" distB="0" distL="0" distR="0">
            <wp:extent cx="5715000" cy="3971925"/>
            <wp:effectExtent t="0" r="0" b="0" l="0"/>
            <wp:docPr id="1" name="img/50-facturation.png" descr="img/50-facturation.png" title="img/50-fact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40.</w:t>
      </w:r>
      <w:r>
        <w:rPr>
          <w:rFonts w:ascii="Calibri" w:cs="Calibri" w:eastAsia="Calibri" w:hAnsi="Calibri"/>
          <w:color w:val="5B6B75"/>
          <w:sz w:val="18"/>
          <w:szCs w:val="18"/>
        </w:rPr>
        <w:t xml:space="preserve"> Cycle de facturation et tableau de bord (chiffre d'affaires HT / TTC, séances et patients facturés).</w:t>
      </w:r>
    </w:p>
    <w:p>
      <w:pPr>
        <w:pStyle w:val="Heading2"/>
      </w:pPr>
      <w:r>
        <w:rPr>
          <w:rFonts w:ascii="Calibri" w:cs="Calibri" w:eastAsia="Calibri" w:hAnsi="Calibri"/>
        </w:rPr>
        <w:t xml:space="preserve">Règlement des factures</w:t>
      </w:r>
    </w:p>
    <w:p>
      <w:pPr>
        <w:spacing w:after="100"/>
      </w:pPr>
      <w:r>
        <w:rPr>
          <w:rFonts w:ascii="Calibri" w:cs="Calibri" w:eastAsia="Calibri" w:hAnsi="Calibri"/>
          <w:sz w:val="22"/>
          <w:szCs w:val="22"/>
        </w:rPr>
        <w:t xml:space="preserve">Suivi des factures non réglées, partiellement réglées, réglées ou en trop-perçu, avec filtres par période, caisse, agence et centre payeur, taux d'encaissement et exports Excel / CSV.</w:t>
      </w:r>
    </w:p>
    <w:p>
      <w:pPr>
        <w:spacing w:after="40" w:before="80"/>
        <w:jc w:val="center"/>
      </w:pPr>
      <w:r>
        <w:drawing>
          <wp:inline distT="0" distB="0" distL="0" distR="0">
            <wp:extent cx="5715000" cy="3971925"/>
            <wp:effectExtent t="0" r="0" b="0" l="0"/>
            <wp:docPr id="1" name="img/51-reglement.png" descr="img/51-reglement.png" title="img/51-regl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41.</w:t>
      </w:r>
      <w:r>
        <w:rPr>
          <w:rFonts w:ascii="Calibri" w:cs="Calibri" w:eastAsia="Calibri" w:hAnsi="Calibri"/>
          <w:color w:val="5B6B75"/>
          <w:sz w:val="18"/>
          <w:szCs w:val="18"/>
        </w:rPr>
        <w:t xml:space="preserve"> Suivi des règlements.</w:t>
      </w:r>
    </w:p>
    <w:p>
      <w:pPr>
        <w:pStyle w:val="Heading2"/>
      </w:pPr>
      <w:r>
        <w:rPr>
          <w:rFonts w:ascii="Calibri" w:cs="Calibri" w:eastAsia="Calibri" w:hAnsi="Calibri"/>
        </w:rPr>
        <w:t xml:space="preserve">Comptabilité</w:t>
      </w:r>
    </w:p>
    <w:p>
      <w:pPr>
        <w:spacing w:after="100"/>
      </w:pPr>
      <w:r>
        <w:rPr>
          <w:rFonts w:ascii="Calibri" w:cs="Calibri" w:eastAsia="Calibri" w:hAnsi="Calibri"/>
          <w:sz w:val="22"/>
          <w:szCs w:val="22"/>
        </w:rPr>
        <w:t xml:space="preserve">Le </w:t>
      </w:r>
      <w:r>
        <w:rPr>
          <w:rFonts w:ascii="Calibri" w:cs="Calibri" w:eastAsia="Calibri" w:hAnsi="Calibri"/>
          <w:b/>
          <w:bCs/>
          <w:sz w:val="22"/>
          <w:szCs w:val="22"/>
        </w:rPr>
        <w:t xml:space="preserve">journal comptable SCF</w:t>
      </w:r>
      <w:r>
        <w:rPr>
          <w:rFonts w:ascii="Calibri" w:cs="Calibri" w:eastAsia="Calibri" w:hAnsi="Calibri"/>
          <w:sz w:val="22"/>
          <w:szCs w:val="22"/>
        </w:rPr>
        <w:t xml:space="preserve"> (Système Comptable Financier) est alimenté automatiquement par les factures et règlements, avec export du journal des ventes et du journal de banque.</w:t>
      </w:r>
    </w:p>
    <w:p>
      <w:pPr>
        <w:spacing w:after="40" w:before="80"/>
        <w:jc w:val="center"/>
      </w:pPr>
      <w:r>
        <w:drawing>
          <wp:inline distT="0" distB="0" distL="0" distR="0">
            <wp:extent cx="5715000" cy="3971925"/>
            <wp:effectExtent t="0" r="0" b="0" l="0"/>
            <wp:docPr id="1" name="img/52-comptabilite.png" descr="img/52-comptabilite.png" title="img/52-comptabil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42.</w:t>
      </w:r>
      <w:r>
        <w:rPr>
          <w:rFonts w:ascii="Calibri" w:cs="Calibri" w:eastAsia="Calibri" w:hAnsi="Calibri"/>
          <w:color w:val="5B6B75"/>
          <w:sz w:val="18"/>
          <w:szCs w:val="18"/>
        </w:rPr>
        <w:t xml:space="preserve"> Journal comptable.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14766E" w:sz="24"/>
              <w:bottom w:val="none"/>
              <w:right w:val="none"/>
            </w:tcBorders>
            <w:shd w:fill="EEF4F6" w:color="auto" w:val="clear"/>
            <w:tcMar>
              <w:top w:type="dxa" w:w="100"/>
              <w:left w:type="dxa" w:w="160"/>
              <w:bottom w:type="dxa" w:w="100"/>
              <w:right w:type="dxa" w:w="160"/>
            </w:tcMar>
          </w:tcPr>
          <w:p>
            <w:r>
              <w:rPr>
                <w:rFonts w:ascii="Calibri" w:cs="Calibri" w:eastAsia="Calibri" w:hAnsi="Calibri"/>
                <w:b/>
                <w:bCs/>
                <w:sz w:val="21"/>
                <w:szCs w:val="21"/>
              </w:rPr>
              <w:t xml:space="preserve">Note.</w:t>
            </w:r>
            <w:r>
              <w:rPr>
                <w:rFonts w:ascii="Calibri" w:cs="Calibri" w:eastAsia="Calibri" w:hAnsi="Calibri"/>
                <w:sz w:val="21"/>
                <w:szCs w:val="21"/>
              </w:rPr>
              <w:t xml:space="preserve"> Les tableaux de bord financiers de ce document sont volontairement à zéro : la base de démonstration ne contient pas encore de factures validées pour la période affichée.</w:t>
            </w:r>
          </w:p>
        </w:tc>
      </w:tr>
    </w:tbl>
    <w:p>
      <w:pPr>
        <w:spacing w:after="80"/>
      </w:pPr>
    </w:p>
    <w:p>
      <w:pPr>
        <w:pageBreakBefore/>
        <w:spacing w:after="40" w:before="0"/>
      </w:pPr>
      <w:r>
        <w:rPr>
          <w:b/>
          <w:bCs/>
          <w:color w:val="14766E"/>
          <w:spacing w:val="40"/>
          <w:sz w:val="18"/>
          <w:szCs w:val="18"/>
        </w:rPr>
        <w:t xml:space="preserve">CHAPITRE 11</w:t>
      </w:r>
    </w:p>
    <w:p>
      <w:pPr>
        <w:pStyle w:val="Heading1"/>
      </w:pPr>
      <w:r>
        <w:t xml:space="preserve">Administration et paramétrage</w:t>
      </w:r>
    </w:p>
    <w:p>
      <w:pPr>
        <w:spacing w:after="200"/>
      </w:pPr>
      <w:r>
        <w:rPr>
          <w:i/>
          <w:iCs/>
          <w:color w:val="5B6B75"/>
          <w:sz w:val="24"/>
          <w:szCs w:val="24"/>
        </w:rPr>
        <w:t xml:space="preserve">Chaque centre configure l'application selon ses règles.</w:t>
      </w: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0-users.png" descr="img/70-users.png" title="img/7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43.</w:t>
            </w:r>
            <w:r>
              <w:rPr>
                <w:rFonts w:ascii="Calibri" w:cs="Calibri" w:eastAsia="Calibri" w:hAnsi="Calibri"/>
                <w:color w:val="5B6B75"/>
                <w:sz w:val="18"/>
                <w:szCs w:val="18"/>
              </w:rPr>
              <w:t xml:space="preserve"> Gestion des utilisateurs.</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1-roles.png" descr="img/71-roles.png" title="img/71-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44.</w:t>
            </w:r>
            <w:r>
              <w:rPr>
                <w:rFonts w:ascii="Calibri" w:cs="Calibri" w:eastAsia="Calibri" w:hAnsi="Calibri"/>
                <w:color w:val="5B6B75"/>
                <w:sz w:val="18"/>
                <w:szCs w:val="18"/>
              </w:rPr>
              <w:t xml:space="preserve"> Rôles et permissions.</w:t>
            </w:r>
          </w:p>
        </w:tc>
      </w:tr>
    </w:tbl>
    <w:p>
      <w:pPr>
        <w:spacing w:after="120"/>
      </w:pPr>
    </w:p>
    <w:tbl>
      <w:tblPr>
        <w:tblW w:type="dxa" w:w="9800"/>
        <w:tblBorders>
          <w:top w:val="none"/>
          <w:left w:val="none"/>
          <w:bottom w:val="none"/>
          <w:right w:val="none"/>
          <w:insideH w:val="none"/>
          <w:insideV w:val="none"/>
        </w:tblBorders>
      </w:tblPr>
      <w:tblGrid>
        <w:gridCol w:w="4900"/>
        <w:gridCol w:w="4900"/>
      </w:tblGrid>
      <w:tr>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2-param-facturation.png" descr="img/72-param-facturation.png" title="img/72-param-fact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45.</w:t>
            </w:r>
            <w:r>
              <w:rPr>
                <w:rFonts w:ascii="Calibri" w:cs="Calibri" w:eastAsia="Calibri" w:hAnsi="Calibri"/>
                <w:color w:val="5B6B75"/>
                <w:sz w:val="18"/>
                <w:szCs w:val="18"/>
              </w:rPr>
              <w:t xml:space="preserve"> Paramétrage de la facturation.</w:t>
            </w:r>
          </w:p>
        </w:tc>
        <w:tc>
          <w:tcPr>
            <w:tcW w:type="dxa" w:w="4900"/>
            <w:tcBorders>
              <w:top w:val="none"/>
              <w:left w:val="none"/>
              <w:bottom w:val="none"/>
              <w:right w:val="none"/>
            </w:tcBorders>
            <w:tcMar>
              <w:top w:type="dxa" w:w="60"/>
              <w:left w:type="dxa" w:w="60"/>
              <w:bottom w:type="dxa" w:w="60"/>
              <w:right w:type="dxa" w:w="60"/>
            </w:tcMar>
          </w:tcPr>
          <w:p>
            <w:pPr>
              <w:spacing w:after="40" w:before="80"/>
              <w:jc w:val="center"/>
            </w:pPr>
            <w:r>
              <w:drawing>
                <wp:inline distT="0" distB="0" distL="0" distR="0">
                  <wp:extent cx="2762250" cy="1914525"/>
                  <wp:effectExtent t="0" r="0" b="0" l="0"/>
                  <wp:docPr id="1" name="img/73-tva.png" descr="img/73-tva.png" title="img/73-t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762250" cy="19145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46.</w:t>
            </w:r>
            <w:r>
              <w:rPr>
                <w:rFonts w:ascii="Calibri" w:cs="Calibri" w:eastAsia="Calibri" w:hAnsi="Calibri"/>
                <w:color w:val="5B6B75"/>
                <w:sz w:val="18"/>
                <w:szCs w:val="18"/>
              </w:rPr>
              <w:t xml:space="preserve"> Types de TVA.</w:t>
            </w:r>
          </w:p>
        </w:tc>
      </w:tr>
    </w:tbl>
    <w:p>
      <w:pPr>
        <w:spacing w:after="120"/>
      </w:pPr>
    </w:p>
    <w:p>
      <w:pPr>
        <w:pStyle w:val="ListParagraph"/>
        <w:numPr>
          <w:ilvl w:val="0"/>
          <w:numId w:val="2"/>
        </w:numPr>
        <w:spacing w:after="40"/>
      </w:pPr>
      <w:r>
        <w:rPr>
          <w:rFonts w:ascii="Calibri" w:cs="Calibri" w:eastAsia="Calibri" w:hAnsi="Calibri"/>
          <w:b/>
          <w:bCs/>
          <w:sz w:val="22"/>
          <w:szCs w:val="22"/>
        </w:rPr>
        <w:t xml:space="preserve">Utilisateurs</w:t>
      </w:r>
      <w:r>
        <w:rPr>
          <w:rFonts w:ascii="Calibri" w:cs="Calibri" w:eastAsia="Calibri" w:hAnsi="Calibri"/>
          <w:sz w:val="22"/>
          <w:szCs w:val="22"/>
        </w:rPr>
        <w:t xml:space="preserve"> : création, modification, activation, affectation à un ou plusieurs centres et à un rôle ; recherche, tri et filtres.</w:t>
      </w:r>
    </w:p>
    <w:p>
      <w:pPr>
        <w:pStyle w:val="ListParagraph"/>
        <w:numPr>
          <w:ilvl w:val="0"/>
          <w:numId w:val="2"/>
        </w:numPr>
        <w:spacing w:after="40"/>
      </w:pPr>
      <w:r>
        <w:rPr>
          <w:rFonts w:ascii="Calibri" w:cs="Calibri" w:eastAsia="Calibri" w:hAnsi="Calibri"/>
          <w:b/>
          <w:bCs/>
          <w:sz w:val="22"/>
          <w:szCs w:val="22"/>
        </w:rPr>
        <w:t xml:space="preserve">Rôles</w:t>
      </w:r>
      <w:r>
        <w:rPr>
          <w:rFonts w:ascii="Calibri" w:cs="Calibri" w:eastAsia="Calibri" w:hAnsi="Calibri"/>
          <w:sz w:val="22"/>
          <w:szCs w:val="22"/>
        </w:rPr>
        <w:t xml:space="preserve"> : ensembles de permissions (médecin, infirmier, secrétariat, administrateur…) modifiables.</w:t>
      </w:r>
    </w:p>
    <w:p>
      <w:pPr>
        <w:pStyle w:val="ListParagraph"/>
        <w:numPr>
          <w:ilvl w:val="0"/>
          <w:numId w:val="2"/>
        </w:numPr>
        <w:spacing w:after="40"/>
      </w:pPr>
      <w:r>
        <w:rPr>
          <w:rFonts w:ascii="Calibri" w:cs="Calibri" w:eastAsia="Calibri" w:hAnsi="Calibri"/>
          <w:b/>
          <w:bCs/>
          <w:sz w:val="22"/>
          <w:szCs w:val="22"/>
        </w:rPr>
        <w:t xml:space="preserve">Paramétrage</w:t>
      </w:r>
      <w:r>
        <w:rPr>
          <w:rFonts w:ascii="Calibri" w:cs="Calibri" w:eastAsia="Calibri" w:hAnsi="Calibri"/>
          <w:sz w:val="22"/>
          <w:szCs w:val="22"/>
        </w:rPr>
        <w:t xml:space="preserve"> : calendrier clinique (jours fériés et fermetures), format du code de facturation et regroupement des multi-forfaits en une seule facture, types de TVA.</w:t>
      </w:r>
    </w:p>
    <w:p>
      <w:pPr>
        <w:pStyle w:val="Heading2"/>
      </w:pPr>
      <w:r>
        <w:rPr>
          <w:rFonts w:ascii="Calibri" w:cs="Calibri" w:eastAsia="Calibri" w:hAnsi="Calibri"/>
        </w:rPr>
        <w:t xml:space="preserve">Modèles de documents</w:t>
      </w:r>
    </w:p>
    <w:p>
      <w:pPr>
        <w:spacing w:after="100"/>
      </w:pPr>
      <w:r>
        <w:rPr>
          <w:rFonts w:ascii="Calibri" w:cs="Calibri" w:eastAsia="Calibri" w:hAnsi="Calibri"/>
          <w:sz w:val="22"/>
          <w:szCs w:val="22"/>
        </w:rPr>
        <w:t xml:space="preserve">Les documents imprimables (attestation d'ouverture de droit, fiche patient, listes de patients / PEC / attestations, ordonnance médicamenteuse…) reposent sur des </w:t>
      </w:r>
      <w:r>
        <w:rPr>
          <w:rFonts w:ascii="Calibri" w:cs="Calibri" w:eastAsia="Calibri" w:hAnsi="Calibri"/>
          <w:b/>
          <w:bCs/>
          <w:sz w:val="22"/>
          <w:szCs w:val="22"/>
        </w:rPr>
        <w:t xml:space="preserve">modèles associés à chaque type de document et à chaque centre</w:t>
      </w:r>
      <w:r>
        <w:rPr>
          <w:rFonts w:ascii="Calibri" w:cs="Calibri" w:eastAsia="Calibri" w:hAnsi="Calibri"/>
          <w:sz w:val="22"/>
          <w:szCs w:val="22"/>
        </w:rPr>
        <w:t xml:space="preserve">, ce qui permet à chaque centre d'utiliser sa propre mise en page.</w:t>
      </w:r>
    </w:p>
    <w:p>
      <w:pPr>
        <w:spacing w:after="40" w:before="80"/>
        <w:jc w:val="center"/>
      </w:pPr>
      <w:r>
        <w:drawing>
          <wp:inline distT="0" distB="0" distL="0" distR="0">
            <wp:extent cx="5715000" cy="3971925"/>
            <wp:effectExtent t="0" r="0" b="0" l="0"/>
            <wp:docPr id="1" name="img/02-modeles-document.png" descr="img/02-modeles-document.png" title="img/02-modeles-docu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9719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47.</w:t>
      </w:r>
      <w:r>
        <w:rPr>
          <w:rFonts w:ascii="Calibri" w:cs="Calibri" w:eastAsia="Calibri" w:hAnsi="Calibri"/>
          <w:color w:val="5B6B75"/>
          <w:sz w:val="18"/>
          <w:szCs w:val="18"/>
        </w:rPr>
        <w:t xml:space="preserve"> Gestion des modèles de documents.</w:t>
      </w:r>
    </w:p>
    <w:p>
      <w:pPr>
        <w:pageBreakBefore/>
        <w:spacing w:after="40" w:before="0"/>
      </w:pPr>
      <w:r>
        <w:rPr>
          <w:b/>
          <w:bCs/>
          <w:color w:val="14766E"/>
          <w:spacing w:val="40"/>
          <w:sz w:val="18"/>
          <w:szCs w:val="18"/>
        </w:rPr>
        <w:t xml:space="preserve">CHAPITRE 12</w:t>
      </w:r>
    </w:p>
    <w:p>
      <w:pPr>
        <w:pStyle w:val="Heading1"/>
      </w:pPr>
      <w:r>
        <w:t xml:space="preserve">Fonctions transverses</w:t>
      </w:r>
    </w:p>
    <w:p>
      <w:pPr>
        <w:spacing w:after="200"/>
      </w:pPr>
      <w:r>
        <w:rPr>
          <w:i/>
          <w:iCs/>
          <w:color w:val="5B6B75"/>
          <w:sz w:val="24"/>
          <w:szCs w:val="24"/>
        </w:rPr>
        <w:t xml:space="preserve">Ce qui vaut pour tous les écrans.</w:t>
      </w:r>
    </w:p>
    <w:p>
      <w:pPr>
        <w:keepNext/>
        <w:spacing w:after="40" w:before="120"/>
      </w:pPr>
      <w:r>
        <w:rPr>
          <w:rFonts w:ascii="Calibri" w:cs="Calibri" w:eastAsia="Calibri" w:hAnsi="Calibri"/>
          <w:b/>
          <w:bCs/>
          <w:color w:val="0D5750"/>
          <w:sz w:val="24"/>
          <w:szCs w:val="24"/>
        </w:rPr>
        <w:t xml:space="preserve">Multi-centres</w:t>
      </w:r>
    </w:p>
    <w:p>
      <w:pPr>
        <w:spacing w:after="100"/>
      </w:pPr>
      <w:r>
        <w:rPr>
          <w:rFonts w:ascii="Calibri" w:cs="Calibri" w:eastAsia="Calibri" w:hAnsi="Calibri"/>
          <w:sz w:val="22"/>
          <w:szCs w:val="22"/>
        </w:rPr>
        <w:t xml:space="preserve">Chaque donnée est rattachée à un centre. Un utilisateur travaille sur un centre à la fois et ne voit jamais les données d'un autre centre.</w:t>
      </w:r>
    </w:p>
    <w:p>
      <w:pPr>
        <w:keepNext/>
        <w:spacing w:after="40" w:before="120"/>
      </w:pPr>
      <w:r>
        <w:rPr>
          <w:rFonts w:ascii="Calibri" w:cs="Calibri" w:eastAsia="Calibri" w:hAnsi="Calibri"/>
          <w:b/>
          <w:bCs/>
          <w:color w:val="0D5750"/>
          <w:sz w:val="24"/>
          <w:szCs w:val="24"/>
        </w:rPr>
        <w:t xml:space="preserve">Sécurité</w:t>
      </w:r>
    </w:p>
    <w:p>
      <w:pPr>
        <w:spacing w:after="100"/>
      </w:pPr>
      <w:r>
        <w:rPr>
          <w:rFonts w:ascii="Calibri" w:cs="Calibri" w:eastAsia="Calibri" w:hAnsi="Calibri"/>
          <w:sz w:val="22"/>
          <w:szCs w:val="22"/>
        </w:rPr>
        <w:t xml:space="preserve">Authentification par session sécurisée, renouvellement automatique, droits par rôle appliqués sur chaque écran et chaque action.</w:t>
      </w:r>
    </w:p>
    <w:p>
      <w:pPr>
        <w:keepNext/>
        <w:spacing w:after="40" w:before="120"/>
      </w:pPr>
      <w:r>
        <w:rPr>
          <w:rFonts w:ascii="Calibri" w:cs="Calibri" w:eastAsia="Calibri" w:hAnsi="Calibri"/>
          <w:b/>
          <w:bCs/>
          <w:color w:val="0D5750"/>
          <w:sz w:val="24"/>
          <w:szCs w:val="24"/>
        </w:rPr>
        <w:t xml:space="preserve">Temps réel</w:t>
      </w:r>
    </w:p>
    <w:p>
      <w:pPr>
        <w:spacing w:after="100"/>
      </w:pPr>
      <w:r>
        <w:rPr>
          <w:rFonts w:ascii="Calibri" w:cs="Calibri" w:eastAsia="Calibri" w:hAnsi="Calibri"/>
          <w:sz w:val="22"/>
          <w:szCs w:val="22"/>
        </w:rPr>
        <w:t xml:space="preserve">Notifications instantanées (alertes d'observance, échéances, événements du centre) sans rafraîchir la page.</w:t>
      </w:r>
    </w:p>
    <w:p>
      <w:pPr>
        <w:keepNext/>
        <w:spacing w:after="40" w:before="120"/>
      </w:pPr>
      <w:r>
        <w:rPr>
          <w:rFonts w:ascii="Calibri" w:cs="Calibri" w:eastAsia="Calibri" w:hAnsi="Calibri"/>
          <w:b/>
          <w:bCs/>
          <w:color w:val="0D5750"/>
          <w:sz w:val="24"/>
          <w:szCs w:val="24"/>
        </w:rPr>
        <w:t xml:space="preserve">Multilingue</w:t>
      </w:r>
    </w:p>
    <w:p>
      <w:pPr>
        <w:spacing w:after="100"/>
      </w:pPr>
      <w:r>
        <w:rPr>
          <w:rFonts w:ascii="Calibri" w:cs="Calibri" w:eastAsia="Calibri" w:hAnsi="Calibri"/>
          <w:sz w:val="22"/>
          <w:szCs w:val="22"/>
        </w:rPr>
        <w:t xml:space="preserve">Français, arabe (droite à gauche), kabyle, anglais.</w:t>
      </w:r>
    </w:p>
    <w:p>
      <w:pPr>
        <w:keepNext/>
        <w:spacing w:after="40" w:before="120"/>
      </w:pPr>
      <w:r>
        <w:rPr>
          <w:rFonts w:ascii="Calibri" w:cs="Calibri" w:eastAsia="Calibri" w:hAnsi="Calibri"/>
          <w:b/>
          <w:bCs/>
          <w:color w:val="0D5750"/>
          <w:sz w:val="24"/>
          <w:szCs w:val="24"/>
        </w:rPr>
        <w:t xml:space="preserve">Toujours utilisable</w:t>
      </w:r>
    </w:p>
    <w:p>
      <w:pPr>
        <w:spacing w:after="100"/>
      </w:pPr>
      <w:r>
        <w:rPr>
          <w:rFonts w:ascii="Calibri" w:cs="Calibri" w:eastAsia="Calibri" w:hAnsi="Calibri"/>
          <w:sz w:val="22"/>
          <w:szCs w:val="22"/>
        </w:rPr>
        <w:t xml:space="preserve">Listes paginées, tableaux avec tri, filtres, choix des colonnes, vues mémorisées, exports.</w:t>
      </w:r>
    </w:p>
    <w:p>
      <w:pPr>
        <w:keepNext/>
        <w:spacing w:after="40" w:before="120"/>
      </w:pPr>
      <w:r>
        <w:rPr>
          <w:rFonts w:ascii="Calibri" w:cs="Calibri" w:eastAsia="Calibri" w:hAnsi="Calibri"/>
          <w:b/>
          <w:bCs/>
          <w:color w:val="0D5750"/>
          <w:sz w:val="24"/>
          <w:szCs w:val="24"/>
        </w:rPr>
        <w:t xml:space="preserve">Documents</w:t>
      </w:r>
    </w:p>
    <w:p>
      <w:pPr>
        <w:spacing w:after="100"/>
      </w:pPr>
      <w:r>
        <w:rPr>
          <w:rFonts w:ascii="Calibri" w:cs="Calibri" w:eastAsia="Calibri" w:hAnsi="Calibri"/>
          <w:sz w:val="22"/>
          <w:szCs w:val="22"/>
        </w:rPr>
        <w:t xml:space="preserve">Impressions et exports PDF, Excel et CSV sur les principaux écrans.</w:t>
      </w:r>
    </w:p>
    <w:p>
      <w:pPr>
        <w:pStyle w:val="Heading2"/>
      </w:pPr>
      <w:r>
        <w:rPr>
          <w:rFonts w:ascii="Calibri" w:cs="Calibri" w:eastAsia="Calibri" w:hAnsi="Calibri"/>
        </w:rPr>
        <w:t xml:space="preserve">Utilisable sur poste, tablette et smartphone</w:t>
      </w:r>
    </w:p>
    <w:p>
      <w:pPr>
        <w:spacing w:after="100"/>
      </w:pPr>
      <w:r>
        <w:rPr>
          <w:rFonts w:ascii="Calibri" w:cs="Calibri" w:eastAsia="Calibri" w:hAnsi="Calibri"/>
          <w:sz w:val="22"/>
          <w:szCs w:val="22"/>
        </w:rPr>
        <w:t xml:space="preserve">L'interface s'adapte à la taille de l'écran : la navigation passe en barre inférieure sur mobile et les tableaux défilent localement sans faire déborder la page.</w:t>
      </w:r>
    </w:p>
    <w:p>
      <w:pPr>
        <w:spacing w:after="40" w:before="80"/>
        <w:jc w:val="center"/>
      </w:pPr>
      <w:r>
        <w:drawing>
          <wp:inline distT="0" distB="0" distL="0" distR="0">
            <wp:extent cx="2381250" cy="5153025"/>
            <wp:effectExtent t="0" r="0" b="0" l="0"/>
            <wp:docPr id="1" name="img/80-mobile-dashboard.png" descr="img/80-mobile-dashboard.png" title="img/80-mobil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381250" cy="5153025"/>
                    </a:xfrm>
                    <a:prstGeom prst="rect">
                      <a:avLst/>
                    </a:prstGeom>
                  </pic:spPr>
                </pic:pic>
              </a:graphicData>
            </a:graphic>
          </wp:inline>
        </w:drawing>
      </w:r>
    </w:p>
    <w:p>
      <w:pPr>
        <w:spacing w:after="120"/>
        <w:jc w:val="center"/>
      </w:pPr>
      <w:r>
        <w:rPr>
          <w:rFonts w:ascii="Calibri" w:cs="Calibri" w:eastAsia="Calibri" w:hAnsi="Calibri"/>
          <w:b/>
          <w:bCs/>
          <w:color w:val="5B6B75"/>
          <w:sz w:val="18"/>
          <w:szCs w:val="18"/>
        </w:rPr>
        <w:t xml:space="preserve">Figure 48.</w:t>
      </w:r>
      <w:r>
        <w:rPr>
          <w:rFonts w:ascii="Calibri" w:cs="Calibri" w:eastAsia="Calibri" w:hAnsi="Calibri"/>
          <w:color w:val="5B6B75"/>
          <w:sz w:val="18"/>
          <w:szCs w:val="18"/>
        </w:rPr>
        <w:t xml:space="preserve"> Tableau de bord sur smartphone.</w:t>
      </w:r>
    </w:p>
    <w:p>
      <w:pPr>
        <w:pageBreakBefore/>
        <w:spacing w:after="40" w:before="0"/>
      </w:pPr>
      <w:r>
        <w:rPr>
          <w:b/>
          <w:bCs/>
          <w:color w:val="14766E"/>
          <w:spacing w:val="40"/>
          <w:sz w:val="18"/>
          <w:szCs w:val="18"/>
        </w:rPr>
        <w:t xml:space="preserve">ANNEXES</w:t>
      </w:r>
    </w:p>
    <w:p>
      <w:pPr>
        <w:pStyle w:val="Heading1"/>
      </w:pPr>
      <w:r>
        <w:t xml:space="preserve">Glossaire et périmètre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54"/>
        <w:gridCol w:w="7946"/>
      </w:tblGrid>
      <w:tr>
        <w:trPr>
          <w:tblHeader/>
        </w:trPr>
        <w:tc>
          <w:tcPr>
            <w:tcW w:type="dxa" w:w="1854"/>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7946"/>
            <w:tcBorders>
              <w:top w:val="single" w:color="D9E3E8" w:sz="4"/>
              <w:left w:val="single" w:color="D9E3E8" w:sz="4"/>
              <w:bottom w:val="single" w:color="D9E3E8" w:sz="4"/>
              <w:right w:val="single" w:color="D9E3E8" w:sz="4"/>
            </w:tcBorders>
            <w:shd w:fill="14766E" w:color="auto" w:val="clear"/>
            <w:tcMar>
              <w:top w:type="dxa" w:w="60"/>
              <w:left w:type="dxa" w:w="100"/>
              <w:bottom w:type="dxa" w:w="60"/>
              <w:right w:type="dxa" w:w="100"/>
            </w:tcMar>
          </w:tcPr>
          <w:p>
            <w:r>
              <w:rPr>
                <w:rFonts w:ascii="Calibri" w:cs="Calibri" w:eastAsia="Calibri" w:hAnsi="Calibri"/>
                <w:b/>
                <w:bCs/>
                <w:color w:val="FFFFFF"/>
                <w:sz w:val="20"/>
                <w:szCs w:val="20"/>
              </w:rPr>
              <w:t xml:space="preserve">Signification</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PEC</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Prise en charge du patient par un organisme payeur.</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KT</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Cathéter (patient « sous KT »).</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FAV</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Fistule artério-veineuse, accès vasculaire de dialyse.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EPO</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Érythropoïétine, traitement de l'anémie.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KDIGO</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Organisme publiant les recommandations internationales sur les maladies rénales.</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Kt/V</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Indicateur d'adéquation de la dialyse.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CST</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Coefficient de saturation de la transferrine.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PRA</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Reactive Antibodies : pourcentage d'anticorps anti-HLA, mesure du risque immunologique.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HLA</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Système d'antigènes de compatibilité tissulaire.</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RCP</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Réunion de concertation pluridisciplinaire.</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DFGe / CKD-EPI</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Débit de filtration glomérulaire estimé, formule CKD-EPI 2021.</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PMP</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Prix moyen pondéré, méthode de valorisation du stock.</w:t>
            </w:r>
          </w:p>
        </w:tc>
      </w:tr>
      <w:tr>
        <w:trPr>
          <w:tblHeader w:val="false"/>
        </w:trPr>
        <w:tc>
          <w:tcPr>
            <w:tcW w:type="dxa" w:w="1854"/>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FEFO</w:t>
            </w:r>
          </w:p>
        </w:tc>
        <w:tc>
          <w:tcPr>
            <w:tcW w:type="dxa" w:w="7946"/>
            <w:tcBorders>
              <w:top w:val="single" w:color="D9E3E8" w:sz="4"/>
              <w:left w:val="single" w:color="D9E3E8" w:sz="4"/>
              <w:bottom w:val="single" w:color="D9E3E8" w:sz="4"/>
              <w:right w:val="single" w:color="D9E3E8" w:sz="4"/>
            </w:tcBorders>
            <w:tcMar>
              <w:top w:type="dxa" w:w="60"/>
              <w:left w:type="dxa" w:w="100"/>
              <w:bottom w:type="dxa" w:w="60"/>
              <w:right w:type="dxa" w:w="100"/>
            </w:tcMar>
          </w:tcPr>
          <w:p>
            <w:r>
              <w:rPr>
                <w:rFonts w:ascii="Calibri" w:cs="Calibri" w:eastAsia="Calibri" w:hAnsi="Calibri"/>
                <w:b w:val="false"/>
                <w:bCs w:val="false"/>
                <w:sz w:val="20"/>
                <w:szCs w:val="20"/>
              </w:rPr>
              <w:t xml:space="preserve">First Expired, First Out : le lot qui périme en premier est consommé en premier.</w:t>
            </w:r>
          </w:p>
        </w:tc>
      </w:tr>
      <w:tr>
        <w:trPr>
          <w:tblHeader w:val="false"/>
        </w:trPr>
        <w:tc>
          <w:tcPr>
            <w:tcW w:type="dxa" w:w="1854"/>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SCF</w:t>
            </w:r>
          </w:p>
        </w:tc>
        <w:tc>
          <w:tcPr>
            <w:tcW w:type="dxa" w:w="7946"/>
            <w:tcBorders>
              <w:top w:val="single" w:color="D9E3E8" w:sz="4"/>
              <w:left w:val="single" w:color="D9E3E8" w:sz="4"/>
              <w:bottom w:val="single" w:color="D9E3E8" w:sz="4"/>
              <w:right w:val="single" w:color="D9E3E8" w:sz="4"/>
            </w:tcBorders>
            <w:shd w:fill="EEF4F6" w:color="auto" w:val="clear"/>
            <w:tcMar>
              <w:top w:type="dxa" w:w="60"/>
              <w:left w:type="dxa" w:w="100"/>
              <w:bottom w:type="dxa" w:w="60"/>
              <w:right w:type="dxa" w:w="100"/>
            </w:tcMar>
          </w:tcPr>
          <w:p>
            <w:r>
              <w:rPr>
                <w:rFonts w:ascii="Calibri" w:cs="Calibri" w:eastAsia="Calibri" w:hAnsi="Calibri"/>
                <w:b w:val="false"/>
                <w:bCs w:val="false"/>
                <w:sz w:val="20"/>
                <w:szCs w:val="20"/>
              </w:rPr>
              <w:t xml:space="preserve">Système comptable financier (norme comptable algérienne).</w:t>
            </w:r>
          </w:p>
        </w:tc>
      </w:tr>
    </w:tbl>
    <w:p>
      <w:pPr>
        <w:spacing w:after="12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none"/>
              <w:left w:val="single" w:color="C2620A" w:sz="24"/>
              <w:bottom w:val="none"/>
              <w:right w:val="none"/>
            </w:tcBorders>
            <w:shd w:fill="FDF3E8" w:color="auto" w:val="clear"/>
            <w:tcMar>
              <w:top w:type="dxa" w:w="100"/>
              <w:left w:type="dxa" w:w="160"/>
              <w:bottom w:type="dxa" w:w="100"/>
              <w:right w:type="dxa" w:w="160"/>
            </w:tcMar>
          </w:tcPr>
          <w:p>
            <w:r>
              <w:rPr>
                <w:rFonts w:ascii="Calibri" w:cs="Calibri" w:eastAsia="Calibri" w:hAnsi="Calibri"/>
                <w:b/>
                <w:bCs/>
                <w:sz w:val="21"/>
                <w:szCs w:val="21"/>
              </w:rPr>
              <w:t xml:space="preserve">Périmètre du document.</w:t>
            </w:r>
            <w:r>
              <w:rPr>
                <w:rFonts w:ascii="Calibri" w:cs="Calibri" w:eastAsia="Calibri" w:hAnsi="Calibri"/>
                <w:sz w:val="21"/>
                <w:szCs w:val="21"/>
              </w:rPr>
              <w:t xml:space="preserve"> Ce document décrit les fonctionnalités disponibles à sa date de rédaction. Les captures proviennent d'un environnement de démonstration ; certaines utilisent des données fictives à titre d'illustration. L'aide à la décision KDIGO ne se substitue pas au jugement clinique du médecin.</w:t>
            </w:r>
          </w:p>
        </w:tc>
      </w:tr>
    </w:tbl>
    <w:p>
      <w:pPr>
        <w:spacing w:after="80"/>
      </w:pPr>
    </w:p>
    <w:p>
      <w:pPr>
        <w:spacing w:before="200"/>
      </w:pPr>
      <w:r>
        <w:rPr>
          <w:rFonts w:ascii="Calibri" w:cs="Calibri" w:eastAsia="Calibri" w:hAnsi="Calibri"/>
          <w:i/>
          <w:iCs/>
          <w:color w:val="5B6B75"/>
          <w:sz w:val="18"/>
          <w:szCs w:val="18"/>
        </w:rPr>
        <w:t xml:space="preserve">HemoDialyse – Documentation fonctionnelle – Version 1.0</w:t>
      </w:r>
    </w:p>
    <w:sectPr>
      <w:footerReference w:type="default" r:id="rId7"/>
      <w:pgSz w:w="11906" w:h="16838" w:orient="portrait"/>
      <w:pgMar w:top="1000" w:right="1050" w:bottom="10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5"/>
        <w:sz w:val="16"/>
        <w:szCs w:val="16"/>
      </w:rPr>
      <w:t xml:space="preserve">HemoDialyse – Documentation fonctionnelle – page </w:t>
    </w:r>
    <w:r>
      <w:rPr>
        <w:color w:val="5B6B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eading1"/>
    <w:basedOn w:val="Normal"/>
    <w:next w:val="Normal"/>
    <w:qFormat/>
    <w:pPr>
      <w:keepNext/>
      <w:spacing w:after="100" w:before="240"/>
      <w:outlineLvl w:val="0"/>
    </w:pPr>
    <w:rPr>
      <w:rFonts w:ascii="Cambria" w:cs="Cambria" w:eastAsia="Cambria" w:hAnsi="Cambria"/>
      <w:b/>
      <w:bCs/>
      <w:color w:val="0D5750"/>
      <w:sz w:val="40"/>
      <w:szCs w:val="40"/>
    </w:rPr>
  </w:style>
  <w:style w:type="paragraph" w:styleId="Heading2">
    <w:name w:val="Heading eading2"/>
    <w:basedOn w:val="Normal"/>
    <w:next w:val="Normal"/>
    <w:qFormat/>
    <w:pPr>
      <w:keepNext/>
      <w:spacing w:after="100" w:before="280"/>
      <w:outlineLvl w:val="1"/>
    </w:pPr>
    <w:rPr>
      <w:rFonts w:ascii="Cambria" w:cs="Cambria" w:eastAsia="Cambria" w:hAnsi="Cambria"/>
      <w:b/>
      <w:bCs/>
      <w:color w:val="14766E"/>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abd5020323e1d0ca76f81b4c1d578890d20061.png"/><Relationship Id="rId9" Type="http://schemas.openxmlformats.org/officeDocument/2006/relationships/image" Target="media/25c09c108440ed0ac647211d47e8c8d27cee600a.png"/><Relationship Id="rId10" Type="http://schemas.openxmlformats.org/officeDocument/2006/relationships/image" Target="media/a5340cd2c680c73b898747ae715b8cad0e759278.png"/><Relationship Id="rId11" Type="http://schemas.openxmlformats.org/officeDocument/2006/relationships/image" Target="media/abeb54142fb91a3d9c51e84477f1b2cfee17e015.png"/><Relationship Id="rId12" Type="http://schemas.openxmlformats.org/officeDocument/2006/relationships/image" Target="media/edcfdba70ef85e55b1566f55b112d72544854f34.png"/><Relationship Id="rId13" Type="http://schemas.openxmlformats.org/officeDocument/2006/relationships/image" Target="media/51ba09f52793df8f4d3d52f8d2f56abd64cddb69.png"/><Relationship Id="rId14" Type="http://schemas.openxmlformats.org/officeDocument/2006/relationships/image" Target="media/9d385e47a7b560da9c29bc3904e5563a39066e11.png"/><Relationship Id="rId15" Type="http://schemas.openxmlformats.org/officeDocument/2006/relationships/image" Target="media/f7252188d2b3e74eaf22b02adeb99e79868bb8f8.png"/><Relationship Id="rId16" Type="http://schemas.openxmlformats.org/officeDocument/2006/relationships/image" Target="media/b003ceea2b76066a0b86f2eccd8f781758e276a3.png"/><Relationship Id="rId17" Type="http://schemas.openxmlformats.org/officeDocument/2006/relationships/image" Target="media/04ca34b11514e6bc5e36c738dd5f5a53291e8dc2.png"/><Relationship Id="rId18" Type="http://schemas.openxmlformats.org/officeDocument/2006/relationships/image" Target="media/d02c1347b4661e7dac791118df54ccab3b5f45c8.png"/><Relationship Id="rId19" Type="http://schemas.openxmlformats.org/officeDocument/2006/relationships/image" Target="media/4b1601f95ee63752a04158f56ad8dc859067025f.png"/><Relationship Id="rId20" Type="http://schemas.openxmlformats.org/officeDocument/2006/relationships/image" Target="media/adeea09c6280236fd0aeb3778fc20e5d5e9a85aa.png"/><Relationship Id="rId21" Type="http://schemas.openxmlformats.org/officeDocument/2006/relationships/image" Target="media/80e774daa2131f48c47e85e1db76ca980197d956.png"/><Relationship Id="rId22" Type="http://schemas.openxmlformats.org/officeDocument/2006/relationships/image" Target="media/b2a062d510925b2144d04ec8fb8f5b3a4181bf43.png"/><Relationship Id="rId23" Type="http://schemas.openxmlformats.org/officeDocument/2006/relationships/image" Target="media/69e68f2b603f0f2b21a9da44caf2a379ca008e4c.png"/><Relationship Id="rId24" Type="http://schemas.openxmlformats.org/officeDocument/2006/relationships/image" Target="media/0fe71a8150f242b0ea6ba9fd2818d2de27839c67.png"/><Relationship Id="rId25" Type="http://schemas.openxmlformats.org/officeDocument/2006/relationships/image" Target="media/46cbecaa63810c94db7488a04b1563cdb21df6d6.png"/><Relationship Id="rId26" Type="http://schemas.openxmlformats.org/officeDocument/2006/relationships/image" Target="media/43c6392a3cc23f5f4089f81dad263c4f6c65d9be.png"/><Relationship Id="rId27" Type="http://schemas.openxmlformats.org/officeDocument/2006/relationships/image" Target="media/c8544260559e2d4cac1bbb7667316b37a774b2de.png"/><Relationship Id="rId28" Type="http://schemas.openxmlformats.org/officeDocument/2006/relationships/image" Target="media/8d0d9dce05d73e951599a6c162cbf7f4410277ba.png"/><Relationship Id="rId29" Type="http://schemas.openxmlformats.org/officeDocument/2006/relationships/image" Target="media/f6eec1ed4c2e446b48a7c7375e329e2a22e4c79a.png"/><Relationship Id="rId30" Type="http://schemas.openxmlformats.org/officeDocument/2006/relationships/image" Target="media/58e5e5ef6c6c0f985594e6d9fd7ed44afa40d786.png"/><Relationship Id="rId31" Type="http://schemas.openxmlformats.org/officeDocument/2006/relationships/image" Target="media/f044ed7a824c1f5a12f8658c2969148ac4fdf164.png"/><Relationship Id="rId32" Type="http://schemas.openxmlformats.org/officeDocument/2006/relationships/image" Target="media/a1f424a43f287babb45d304396730f981a676c6b.png"/><Relationship Id="rId33" Type="http://schemas.openxmlformats.org/officeDocument/2006/relationships/image" Target="media/b88b2fc7f1c709e20aa202994f14cba1603449c2.png"/><Relationship Id="rId34" Type="http://schemas.openxmlformats.org/officeDocument/2006/relationships/image" Target="media/e82cadff14a3b4ca6a3de34a4654a9ddd7cc9cea.png"/><Relationship Id="rId35" Type="http://schemas.openxmlformats.org/officeDocument/2006/relationships/image" Target="media/7b5ea8e85e542254430345f057a49353e12abca5.png"/><Relationship Id="rId36" Type="http://schemas.openxmlformats.org/officeDocument/2006/relationships/image" Target="media/5f3c7411efe829f16632a7c436080bd221d3a170.png"/><Relationship Id="rId37" Type="http://schemas.openxmlformats.org/officeDocument/2006/relationships/image" Target="media/6e65cff864e76c742eba44b2f72ec15565e6d0a6.png"/><Relationship Id="rId38" Type="http://schemas.openxmlformats.org/officeDocument/2006/relationships/image" Target="media/aa00fb6c292c44af455fb6c03450a8ee2eefb74d.png"/><Relationship Id="rId39" Type="http://schemas.openxmlformats.org/officeDocument/2006/relationships/image" Target="media/20b1d27380cbddfc832ad9379fc6227574304eb0.png"/><Relationship Id="rId40" Type="http://schemas.openxmlformats.org/officeDocument/2006/relationships/image" Target="media/cd27830d00e944bd5fda127be5319e322a957f3d.png"/><Relationship Id="rId41" Type="http://schemas.openxmlformats.org/officeDocument/2006/relationships/image" Target="media/fd5a31600d51d38d6644491d4ba3b6ac8c6eb967.png"/><Relationship Id="rId42" Type="http://schemas.openxmlformats.org/officeDocument/2006/relationships/image" Target="media/63182ec6c04278e3b51a9113a19ad776ba2843c8.png"/><Relationship Id="rId43" Type="http://schemas.openxmlformats.org/officeDocument/2006/relationships/image" Target="media/6708557f1b9964019f845b4d15e96717d633dd16.png"/><Relationship Id="rId44" Type="http://schemas.openxmlformats.org/officeDocument/2006/relationships/image" Target="media/1b14573aab0a4ebeaaab386a67aad65bdb472f84.png"/><Relationship Id="rId45" Type="http://schemas.openxmlformats.org/officeDocument/2006/relationships/image" Target="media/c1be9b0a25c2b3fda3428d3ac8e12fc7ed60730d.png"/><Relationship Id="rId46" Type="http://schemas.openxmlformats.org/officeDocument/2006/relationships/image" Target="media/9517fa32640364be21936631cfb4350654fa37e9.png"/><Relationship Id="rId47" Type="http://schemas.openxmlformats.org/officeDocument/2006/relationships/image" Target="media/ca4eea0aa97bcabb4daf03ab2bcb6020ec966999.png"/><Relationship Id="rId48" Type="http://schemas.openxmlformats.org/officeDocument/2006/relationships/image" Target="media/57ac4d3dd7d97c215e0b162ff5098b5a5a15e6c6.png"/><Relationship Id="rId49" Type="http://schemas.openxmlformats.org/officeDocument/2006/relationships/image" Target="media/3aa1582ef094af0e7c117011090c24c4546f2736.png"/><Relationship Id="rId50" Type="http://schemas.openxmlformats.org/officeDocument/2006/relationships/image" Target="media/574eb855e51bb891be2c62870bda238ff737fada.png"/><Relationship Id="rId51" Type="http://schemas.openxmlformats.org/officeDocument/2006/relationships/image" Target="media/21a62de717536c444e335f81f1317cc709cb560b.png"/><Relationship Id="rId52" Type="http://schemas.openxmlformats.org/officeDocument/2006/relationships/image" Target="media/fd5b5b86166febddbbc2ef1ee9065fb93c717d8b.png"/><Relationship Id="rId53" Type="http://schemas.openxmlformats.org/officeDocument/2006/relationships/image" Target="media/11cec4f908771ed65a19879150bd2d629a6d9462.png"/><Relationship Id="rId54" Type="http://schemas.openxmlformats.org/officeDocument/2006/relationships/image" Target="media/7c22e9cb503081adae177581330cd41e0f38e8fd.png"/><Relationship Id="rId55" Type="http://schemas.openxmlformats.org/officeDocument/2006/relationships/image" Target="media/0ade706b0a6523f118aaed3d1167e387069adb53.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dc:title>
  <dc:creator>HemoDialyse</dc:creator>
  <cp:lastModifiedBy>Un-named</cp:lastModifiedBy>
  <cp:revision>1</cp:revision>
  <dcterms:created xsi:type="dcterms:W3CDTF">2026-09-26T18:38:53.181Z</dcterms:created>
  <dcterms:modified xsi:type="dcterms:W3CDTF">2026-09-26T18:38:53.182Z</dcterms:modified>
</cp:coreProperties>
</file>

<file path=docProps/custom.xml><?xml version="1.0" encoding="utf-8"?>
<Properties xmlns="http://schemas.openxmlformats.org/officeDocument/2006/custom-properties" xmlns:vt="http://schemas.openxmlformats.org/officeDocument/2006/docPropsVTypes"/>
</file>