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HemoDialyse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0D5750"/>
          <w:sz w:val="56"/>
          <w:szCs w:val="56"/>
        </w:rPr>
        <w:t xml:space="preserve">La plateforme qui </w:t>
      </w:r>
      <w:r>
        <w:rPr>
          <w:rFonts w:ascii="Calibri" w:cs="Calibri" w:eastAsia="Calibri" w:hAnsi="Calibri"/>
          <w:b/>
          <w:bCs/>
          <w:i/>
          <w:iCs/>
          <w:color w:val="0D5750"/>
          <w:sz w:val="56"/>
          <w:szCs w:val="56"/>
        </w:rPr>
        <w:t xml:space="preserve">simplifie</w:t>
      </w:r>
      <w:r>
        <w:rPr>
          <w:rFonts w:ascii="Calibri" w:cs="Calibri" w:eastAsia="Calibri" w:hAnsi="Calibri"/>
          <w:b/>
          <w:bCs/>
          <w:color w:val="0D5750"/>
          <w:sz w:val="56"/>
          <w:szCs w:val="56"/>
        </w:rPr>
        <w:t xml:space="preserve"> la vie de votre centre d'hémodialyse.</w:t>
      </w:r>
    </w:p>
    <w:p>
      <w:pPr>
        <w:spacing w:after="140"/>
      </w:pPr>
      <w:r>
        <w:rPr>
          <w:rFonts w:ascii="Calibri" w:cs="Calibri" w:eastAsia="Calibri" w:hAnsi="Calibri"/>
          <w:color w:val="5B6B75"/>
          <w:sz w:val="26"/>
          <w:szCs w:val="26"/>
        </w:rPr>
        <w:t xml:space="preserve">Patients, séances, dossier médical, stock, facturation et préparation à la greffe rénale : un seul outil, pour tous les métiers de votre centre.</w:t>
      </w:r>
    </w:p>
    <w:p>
      <w:pPr>
        <w:spacing w:after="40" w:before="80"/>
        <w:jc w:val="center"/>
      </w:pPr>
      <w:r>
        <w:drawing>
          <wp:inline distT="0" distB="0" distL="0" distR="0">
            <wp:extent cx="4114800" cy="2857500"/>
            <wp:effectExtent t="0" r="0" b="0" l="0"/>
            <wp:docPr id="1" name="img/01-dashboard.png" descr="img/01-dashboard.png" title="img/01-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Le constat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Un centre de dialyse, c'est des dizaines de tâches qui ne doivent jamais échouer.</w:t>
      </w:r>
    </w:p>
    <w:p>
      <w:pPr>
        <w:spacing w:after="140"/>
      </w:pPr>
      <w:r>
        <w:rPr>
          <w:rFonts w:ascii="Calibri" w:cs="Calibri" w:eastAsia="Calibri" w:hAnsi="Calibri"/>
          <w:color w:val="5B6B75"/>
          <w:sz w:val="26"/>
          <w:szCs w:val="26"/>
        </w:rPr>
        <w:t xml:space="preserve">Dossiers papier, tableurs, stock suivi à la main, facturation en fin de mois, traitements oubliés : chaque ressaisie est une source d'erreur, chaque oubli a un coût pour le patient et pour le centre.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Du temps perdu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Les équipes ressaisissent les mêmes données dans plusieurs outils et documents.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Des oublis à risque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Doses d'EPO manquantes, PEC expirées, lots périmés : trop tard quand on s'en aperçoit.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Une visibilité limitée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Difficile de relier une consommation à un patient, une séance et une facture.</w:t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La solution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Un seul outil, du premier accueil à la greffe.</w:t>
      </w:r>
    </w:p>
    <w:p>
      <w:pPr>
        <w:spacing w:after="140"/>
      </w:pPr>
      <w:r>
        <w:rPr>
          <w:rFonts w:ascii="Calibri" w:cs="Calibri" w:eastAsia="Calibri" w:hAnsi="Calibri"/>
          <w:color w:val="5B6B75"/>
          <w:sz w:val="26"/>
          <w:szCs w:val="26"/>
        </w:rPr>
        <w:t xml:space="preserve">HemoDialyse relie tous les métiers du centre autour d'un même dossier patient : ce qui est saisi une fois est réutilisé partout.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Patients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Admission, PEC, attestations, carte QR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Dossier médical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11 onglets cliniques structurés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Séances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Saisie infirmière, scan QR, planning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Anémie EPO / Fer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Cibles KDIGO et observance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Greffe rénale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Bilan, RCP, donneur vivant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Stock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Lots, FEFO, PMP, traçabilité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Facturation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HT / TVA / TTC, règlements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Comptabilité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Journal SCF automatique</w:t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Séances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Des séances saisies en quelques gestes.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Identification du patient par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scan de sa carte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Saisie paramédicale guidée : tension, poids, durée, ultrafiltration…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Consommables décomptés automatiquement du stock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Tableau de bord d'activité et exports PDF / Excel</w:t>
      </w:r>
    </w:p>
    <w:p>
      <w:pPr>
        <w:spacing w:after="40" w:before="80"/>
        <w:jc w:val="center"/>
      </w:pPr>
      <w:r>
        <w:drawing>
          <wp:inline distT="0" distB="0" distL="0" distR="0">
            <wp:extent cx="1457325" cy="2857500"/>
            <wp:effectExtent t="0" r="0" b="0" l="0"/>
            <wp:docPr id="1" name="img/41-seance-detail.png" descr="img/41-seance-detail.png" title="img/41-seance-deta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</w:p>
    <w:p>
      <w:pPr>
        <w:spacing w:after="40" w:before="80"/>
        <w:jc w:val="center"/>
      </w:pPr>
      <w:r>
        <w:drawing>
          <wp:inline distT="0" distB="0" distL="0" distR="0">
            <wp:extent cx="4114800" cy="2857500"/>
            <wp:effectExtent t="0" r="0" b="0" l="0"/>
            <wp:docPr id="1" name="img/27-dm-anemie.png" descr="img/27-dm-anemie.png" title="img/27-dm-anemi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Point fort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Le traitement de l'anémie, sans faille.</w:t>
      </w:r>
    </w:p>
    <w:p>
      <w:pPr>
        <w:spacing w:after="140"/>
      </w:pPr>
      <w:r>
        <w:rPr>
          <w:rFonts w:ascii="Calibri" w:cs="Calibri" w:eastAsia="Calibri" w:hAnsi="Calibri"/>
          <w:color w:val="5B6B75"/>
          <w:sz w:val="26"/>
          <w:szCs w:val="26"/>
        </w:rPr>
        <w:t xml:space="preserve">Ce que le médecin prescrit est ce que l'infirmier administre, et le système le vérifie pour vous.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Prescription EPO / Fer structurée (article, dose, fréquence)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Reste à administrer</w:t>
      </w:r>
      <w:r>
        <w:rPr>
          <w:rFonts w:ascii="Calibri" w:cs="Calibri" w:eastAsia="Calibri" w:hAnsi="Calibri"/>
          <w:sz w:val="22"/>
          <w:szCs w:val="22"/>
        </w:rPr>
        <w:t xml:space="preserve"> visible en séance par l'infirmier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Alertes au médecin 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rappel avant échéance</w:t>
      </w:r>
      <w:r>
        <w:rPr>
          <w:rFonts w:ascii="Calibri" w:cs="Calibri" w:eastAsia="Calibri" w:hAnsi="Calibri"/>
          <w:sz w:val="22"/>
          <w:szCs w:val="22"/>
        </w:rPr>
        <w:t xml:space="preserve"> et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retard constaté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Cibles cliniques KDIGO et courbes Hb / ferritine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Sortie de stock automatique au bon lot (FEFO)</w:t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Nouveau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Préparer la greffe rénale, dès la dialyse.</w:t>
      </w:r>
    </w:p>
    <w:p>
      <w:pPr>
        <w:spacing w:after="140"/>
      </w:pPr>
      <w:r>
        <w:rPr>
          <w:rFonts w:ascii="Calibri" w:cs="Calibri" w:eastAsia="Calibri" w:hAnsi="Calibri"/>
          <w:color w:val="5B6B75"/>
          <w:sz w:val="26"/>
          <w:szCs w:val="26"/>
        </w:rPr>
        <w:t xml:space="preserve">La greffe est le meilleur avenir pour beaucoup de patients dialysés. Vos données servent enfin à la préparer.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Parcours d'éligibilité contrôlé jusqu'à l'inscription sur liste d'attente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Checklist standard du bilan pré-greffe, adaptable patient par patient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Évaluation KDIGO automatique</w:t>
      </w:r>
      <w:r>
        <w:rPr>
          <w:rFonts w:ascii="Calibri" w:cs="Calibri" w:eastAsia="Calibri" w:hAnsi="Calibri"/>
          <w:sz w:val="22"/>
          <w:szCs w:val="22"/>
        </w:rPr>
        <w:t xml:space="preserve"> : risque immunologique (PRA), DFGe, alertes sérologiques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Décisions de RCP historisées, suivi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donneurs vivants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Dossier de synthèse exportable en PDF pour le centre de greffe</w:t>
      </w:r>
    </w:p>
    <w:p>
      <w:pPr>
        <w:spacing w:after="40" w:before="80"/>
        <w:jc w:val="center"/>
      </w:pPr>
      <w:r>
        <w:drawing>
          <wp:inline distT="0" distB="0" distL="0" distR="0">
            <wp:extent cx="4114800" cy="2857500"/>
            <wp:effectExtent t="0" r="0" b="0" l="0"/>
            <wp:docPr id="1" name="img/30-greffe-haut.png" descr="img/30-greffe-haut.png" title="img/30-greffe-ha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Stock et gestion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Du lot au patient, de la séance à la facture.</w:t>
      </w:r>
    </w:p>
    <w:tbl>
      <w:tblPr>
        <w:tblW w:type="dxa" w:w="14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400"/>
        <w:gridCol w:w="7400"/>
      </w:tblGrid>
      <w:tr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3562350" cy="2476500"/>
                  <wp:effectExtent t="0" r="0" b="0" l="0"/>
                  <wp:docPr id="1" name="img/60-stock.png" descr="img/60-stock.png" title="img/60-sto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623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3562350" cy="2476500"/>
                  <wp:effectExtent t="0" r="0" b="0" l="0"/>
                  <wp:docPr id="1" name="img/50-facturation.png" descr="img/50-facturation.png" title="img/50-factu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623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Stock maîtrisé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Valorisation au PMP, alertes de seuil et de péremption, sorties FEFO.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Traçabilité totale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Lot → patient → séance, pour toute consommation.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Facturation fiable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Aperçu avant validation, HT / TVA / TTC, règlements et journal comptable SCF.</w:t>
      </w:r>
    </w:p>
    <w:p>
      <w:pPr>
        <w:pageBreakBefore/>
      </w:pPr>
    </w:p>
    <w:p>
      <w:pPr>
        <w:spacing w:after="40" w:before="80"/>
        <w:jc w:val="center"/>
      </w:pPr>
      <w:r>
        <w:drawing>
          <wp:inline distT="0" distB="0" distL="0" distR="0">
            <wp:extent cx="4114800" cy="2857500"/>
            <wp:effectExtent t="0" r="0" b="0" l="0"/>
            <wp:docPr id="1" name="img/22-dm-serologies.png" descr="img/22-dm-serologies.png" title="img/22-dm-serologi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Dossier médical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Un dossier clinique complet, structuré, partout accessible.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Antécédents, sérologies, examens, abords vasculaires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Prescriptions, biologie, constantes, ordonnances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Droits par profil : lecture seule ou saisie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Statistiques patient et cahier de dialyse</w:t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Pensé pour le terrain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Multi-centres, multilingue, sur tous vos écrans.</w:t>
      </w:r>
    </w:p>
    <w:p>
      <w:pPr>
        <w:spacing w:after="40" w:before="80"/>
        <w:jc w:val="center"/>
      </w:pPr>
      <w:r>
        <w:drawing>
          <wp:inline distT="0" distB="0" distL="0" distR="0">
            <wp:extent cx="1323975" cy="2857500"/>
            <wp:effectExtent t="0" r="0" b="0" l="0"/>
            <wp:docPr id="1" name="img/80-mobile-dashboard.png" descr="img/80-mobile-dashboard.png" title="img/80-mobile-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80"/>
        <w:jc w:val="center"/>
      </w:pPr>
      <w:r>
        <w:drawing>
          <wp:inline distT="0" distB="0" distL="0" distR="0">
            <wp:extent cx="1323975" cy="2857500"/>
            <wp:effectExtent t="0" r="0" b="0" l="0"/>
            <wp:docPr id="1" name="img/81-mobile-anemie.png" descr="img/81-mobile-anemie.png" title="img/81-mobile-anemi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4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400"/>
        <w:gridCol w:w="7400"/>
      </w:tblGrid>
      <w:tr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3619500" cy="2266950"/>
                  <wp:effectExtent t="0" r="0" b="0" l="0"/>
                  <wp:docPr id="1" name="img/82-langue-ar.png" descr="img/82-langue-ar.png" title="img/82-langue-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Multi-centres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Chaque centre ses données, ses utilisateurs, son paramétrage.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 langues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Français, arabe (droite à gauche), kabyle, anglais.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Poste, tablette, mobile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Une interface qui s'adapte à chaque écran.</w:t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Mise en route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Opérationnel simplement, avec vous.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Cadrage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Analyse de vos circuits, centres, profils et documents.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Paramétrage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Référentiels, utilisateurs, rôles, modèles de documents, calendrier.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Formation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Sessions par métier : médecins, infirmiers, secrétariat, administration.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0D5750"/>
          <w:sz w:val="24"/>
          <w:szCs w:val="24"/>
        </w:rPr>
        <w:t xml:space="preserve">Accompagnement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Suivi de démarrage et évolutions selon vos retours.</w:t>
      </w:r>
    </w:p>
    <w:p>
      <w:pPr>
        <w:pageBreakBefore/>
      </w:pP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4766E"/>
          <w:sz w:val="20"/>
          <w:szCs w:val="20"/>
        </w:rPr>
        <w:t xml:space="preserve">HemoDialyse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Voyons ensemble ce que HemoDialyse peut faire pour votre centre.</w:t>
      </w:r>
    </w:p>
    <w:p>
      <w:pPr>
        <w:spacing w:after="140"/>
      </w:pPr>
      <w:r>
        <w:rPr>
          <w:rFonts w:ascii="Calibri" w:cs="Calibri" w:eastAsia="Calibri" w:hAnsi="Calibri"/>
          <w:color w:val="5B6B75"/>
          <w:sz w:val="26"/>
          <w:szCs w:val="26"/>
        </w:rPr>
        <w:t xml:space="preserve">Une démonstration sur vos propres cas d'usage, sans engagement.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00"/>
      </w:tblGrid>
      <w:tr>
        <w:tc>
          <w:tcPr>
            <w:tcW w:type="dxa" w:w="14800"/>
            <w:tcBorders>
              <w:top w:val="none"/>
              <w:left w:val="single" w:color="14766E" w:sz="24"/>
              <w:bottom w:val="none"/>
              <w:right w:val="none"/>
            </w:tcBorders>
            <w:shd w:fill="EE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Contact commercial : Slimane BOURAHLA ·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s_bourahla@esi.dz</w:t>
            </w:r>
          </w:p>
        </w:tc>
      </w:tr>
    </w:tbl>
    <w:p>
      <w:r>
        <w:t xml:space="preserve"/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Les captures d'écran présentées proviennent d'un environnement de démonstration ; les noms de patients et certaines données cliniques sont fictifs. Document non contractuel.</w:t>
      </w:r>
    </w:p>
    <w:sectPr>
      <w:footerReference w:type="default" r:id="rId7"/>
      <w:pgSz w:w="16838" w:h="11906" w:orient="landscape"/>
      <w:pgMar w:top="1000" w:right="1050" w:bottom="100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75"/>
        <w:sz w:val="16"/>
        <w:szCs w:val="16"/>
      </w:rPr>
      <w:t xml:space="preserve">HemoDialyse – Plaquette commerciale – page </w:t>
    </w:r>
    <w:r>
      <w:rPr>
        <w:color w:val="5B6B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eading1"/>
    <w:basedOn w:val="Normal"/>
    <w:next w:val="Normal"/>
    <w:qFormat/>
    <w:pPr>
      <w:keepNext/>
      <w:spacing w:after="100" w:before="240"/>
      <w:outlineLvl w:val="0"/>
    </w:pPr>
    <w:rPr>
      <w:rFonts w:ascii="Cambria" w:cs="Cambria" w:eastAsia="Cambria" w:hAnsi="Cambria"/>
      <w:b/>
      <w:bCs/>
      <w:color w:val="0D5750"/>
      <w:sz w:val="40"/>
      <w:szCs w:val="40"/>
    </w:rPr>
  </w:style>
  <w:style w:type="paragraph" w:styleId="Heading2">
    <w:name w:val="Heading eading2"/>
    <w:basedOn w:val="Normal"/>
    <w:next w:val="Normal"/>
    <w:qFormat/>
    <w:pPr>
      <w:keepNext/>
      <w:spacing w:after="100" w:before="280"/>
      <w:outlineLvl w:val="1"/>
    </w:pPr>
    <w:rPr>
      <w:rFonts w:ascii="Cambria" w:cs="Cambria" w:eastAsia="Cambria" w:hAnsi="Cambria"/>
      <w:b/>
      <w:bCs/>
      <w:color w:val="1476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beb54142fb91a3d9c51e84477f1b2cfee17e015.png"/><Relationship Id="rId9" Type="http://schemas.openxmlformats.org/officeDocument/2006/relationships/image" Target="media/aa00fb6c292c44af455fb6c03450a8ee2eefb74d.png"/><Relationship Id="rId10" Type="http://schemas.openxmlformats.org/officeDocument/2006/relationships/image" Target="media/58e5e5ef6c6c0f985594e6d9fd7ed44afa40d786.png"/><Relationship Id="rId11" Type="http://schemas.openxmlformats.org/officeDocument/2006/relationships/image" Target="media/b88b2fc7f1c709e20aa202994f14cba1603449c2.png"/><Relationship Id="rId12" Type="http://schemas.openxmlformats.org/officeDocument/2006/relationships/image" Target="media/fd5a31600d51d38d6644491d4ba3b6ac8c6eb967.png"/><Relationship Id="rId13" Type="http://schemas.openxmlformats.org/officeDocument/2006/relationships/image" Target="media/ca4eea0aa97bcabb4daf03ab2bcb6020ec966999.png"/><Relationship Id="rId14" Type="http://schemas.openxmlformats.org/officeDocument/2006/relationships/image" Target="media/69e68f2b603f0f2b21a9da44caf2a379ca008e4c.png"/><Relationship Id="rId15" Type="http://schemas.openxmlformats.org/officeDocument/2006/relationships/image" Target="media/0ade706b0a6523f118aaed3d1167e387069adb53.png"/><Relationship Id="rId16" Type="http://schemas.openxmlformats.org/officeDocument/2006/relationships/image" Target="media/a1f424a43f287babb45d304396730f981a676c6b.png"/><Relationship Id="rId17" Type="http://schemas.openxmlformats.org/officeDocument/2006/relationships/image" Target="media/25c09c108440ed0ac647211d47e8c8d27cee600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HemoDialyse – Plaquette commerciale</dc:title>
  <dc:creator>HemoDialyse</dc:creator>
  <cp:lastModifiedBy>Un-named</cp:lastModifiedBy>
  <cp:revision>1</cp:revision>
  <dcterms:created xsi:type="dcterms:W3CDTF">2026-09-26T18:38:54.851Z</dcterms:created>
  <dcterms:modified xsi:type="dcterms:W3CDTF">2026-09-26T18:38:54.851Z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