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2026-10-04</w:t>
      </w:r>
    </w:p>
    <w:p>
      <w:r>
        <w:rPr>
          <w:sz w:val="22"/>
          <w:szCs w:val="22"/>
        </w:rPr>
        <w:t xml:space="preserve">453 règles de gestion · 16 domaines · 322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état, etc.) est calculée pour le mois demandé (mois
courant par
défaut), mise en cache </w:t>
            </w:r>
            <w:r>
              <w:rPr>
                <w:b/>
                <w:bCs/>
              </w:rPr>
              <w:t xml:space="preserve">par centre et par mois</w:t>
            </w:r>
            <w:r>
              <w:t xml:space="preserve"> (3 min) ; ses détails de même.</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(strictement positive) annule la sortie existante et en recrée
une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courant),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(patients distincts ayant au moins une séance réalisée
dans la période)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2026-10-04T15:37:09.401Z</dcterms:created>
  <dcterms:modified xsi:type="dcterms:W3CDTF">2026-10-04T15:37:09.401Z</dcterms:modified>
</cp:coreProperties>
</file>

<file path=docProps/custom.xml><?xml version="1.0" encoding="utf-8"?>
<Properties xmlns="http://schemas.openxmlformats.org/officeDocument/2006/custom-properties" xmlns:vt="http://schemas.openxmlformats.org/officeDocument/2006/docPropsVTypes"/>
</file>