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2026-10-05</w:t>
      </w:r>
    </w:p>
    <w:p>
      <w:r>
        <w:rPr>
          <w:sz w:val="22"/>
          <w:szCs w:val="22"/>
        </w:rPr>
        <w:t xml:space="preserve">464 règles de gestion · 16 domaines · 338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(effective sinon demandée) couvre la date, </w:t>
            </w:r>
            <w:r>
              <w:rPr>
                <w:b/>
                <w:bCs/>
              </w:rPr>
              <w:t xml:space="preserve">et</w:t>
            </w:r>
            <w:r>
              <w:t xml:space="preserve"> une
attestation de droits couvrant la date (« Le patient
doit avoir une prise en charge valide pour être facturé »). Sans cela, la séance ne se crée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 chaque valeur entre </w:t>
            </w:r>
            <w:r>
              <w:rPr>
                <w:b/>
                <w:bCs/>
              </w:rPr>
              <w:t xml:space="preserve">20 et 400 mmHg</w:t>
            </w:r>
            <w:r>
              <w:t xml:space="preserve">,
systolique ≥ diastolique.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porte : code, libellé, unité (tous trois obligatoires), seuil d'alerte, stock courant, PMP
courant, indicateur « géré par lot »
et « actif », et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qui alimente les listes de
prescription (voir RG-MED).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quantité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2026-10-05T12:19:28.218Z</dcterms:created>
  <dcterms:modified xsi:type="dcterms:W3CDTF">2026-10-05T12:19:28.218Z</dcterms:modified>
</cp:coreProperties>
</file>

<file path=docProps/custom.xml><?xml version="1.0" encoding="utf-8"?>
<Properties xmlns="http://schemas.openxmlformats.org/officeDocument/2006/custom-properties" xmlns:vt="http://schemas.openxmlformats.org/officeDocument/2006/docPropsVTypes"/>
</file>