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2026-10-09</w:t>
      </w:r>
    </w:p>
    <w:p>
      <w:r>
        <w:rPr>
          <w:sz w:val="22"/>
          <w:szCs w:val="22"/>
        </w:rPr>
        <w:t xml:space="preserve">523 règles de gestion · 16 domaines · 396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journal d'audit
(</w:t>
            </w:r>
            <w:r>
              <w:rPr>
                <w:rFonts w:ascii="Consolas" w:cs="Consolas" w:eastAsia="Consolas" w:hAnsi="Consolas"/>
                <w:color w:val="0B4D47"/>
                <w:sz w:val="18"/>
                <w:szCs w:val="18"/>
              </w:rPr>
              <w:t xml:space="preserve">/audit</w:t>
            </w:r>
            <w:r>
              <w:t xml:space="preserve">) et performance de la base (</w:t>
            </w:r>
            <w:r>
              <w:rPr>
                <w:rFonts w:ascii="Consolas" w:cs="Consolas" w:eastAsia="Consolas" w:hAnsi="Consolas"/>
                <w:color w:val="0B4D47"/>
                <w:sz w:val="18"/>
                <w:szCs w:val="18"/>
              </w:rPr>
              <w:t xml:space="preserve">/supervision</w:t>
            </w:r>
            <w:r>
              <w:t xml:space="preserve">, RG-SEC-060)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pPr>
        <w:pStyle w:val="Heading2"/>
      </w:pPr>
      <w:r>
        <w:t xml:space="preserve">2.13 Performance de la base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Écran « Performance de la base »</w:t>
            </w:r>
            <w:r>
              <w:t xml:space="preserve">, réservé au </w:t>
            </w:r>
            <w:r>
              <w:rPr>
                <w:rFonts w:ascii="Consolas" w:cs="Consolas" w:eastAsia="Consolas" w:hAnsi="Consolas"/>
                <w:color w:val="0B4D47"/>
                <w:sz w:val="18"/>
                <w:szCs w:val="18"/>
              </w:rPr>
              <w:t xml:space="preserve">SUPERADMIN</w:t>
            </w:r>
            <w:r>
              <w:t xml:space="preserve"> (menu propriétaire, route
</w:t>
            </w:r>
            <w:r>
              <w:rPr>
                <w:rFonts w:ascii="Consolas" w:cs="Consolas" w:eastAsia="Consolas" w:hAnsi="Consolas"/>
                <w:color w:val="0B4D47"/>
                <w:sz w:val="18"/>
                <w:szCs w:val="18"/>
              </w:rPr>
              <w:t xml:space="preserve">/admin/performance</w:t>
            </w:r>
            <w:r>
              <w:t xml:space="preserve">) : classement paginé des requêtes SQL les plus coûteuses relevées par PostgreSQL
(</w:t>
            </w:r>
            <w:r>
              <w:rPr>
                <w:rFonts w:ascii="Consolas" w:cs="Consolas" w:eastAsia="Consolas" w:hAnsi="Consolas"/>
                <w:color w:val="0B4D47"/>
                <w:sz w:val="18"/>
                <w:szCs w:val="18"/>
              </w:rPr>
              <w:t xml:space="preserve">pg_stat_statements</w:t>
            </w:r>
            <w:r>
              <w:t xml:space="preserve">), triable par </w:t>
            </w:r>
            <w:r>
              <w:rPr>
                <w:b/>
                <w:bCs/>
              </w:rPr>
              <w:t xml:space="preserve">temps total</w:t>
            </w:r>
            <w:r>
              <w:t xml:space="preserve">, </w:t>
            </w:r>
            <w:r>
              <w:rPr>
                <w:b/>
                <w:bCs/>
              </w:rPr>
              <w:t xml:space="preserve">temps moyen</w:t>
            </w:r>
            <w:r>
              <w:t xml:space="preserve"> ou </w:t>
            </w:r>
            <w:r>
              <w:rPr>
                <w:b/>
                <w:bCs/>
              </w:rPr>
              <w:t xml:space="preserve">nombre d'appels</w:t>
            </w:r>
            <w:r>
              <w:t xml:space="preserve"> (temps total par défaut).
Chaque requête affiche son nombre d'appels, son temps total, sa part du temps total de la base, son temps moyen, son
temps maximal et le nombre de lignes. Ce sont des données techniques de toute la plateforme, hors périmètre d'un
centre : le texte des requêtes est normalisé (les valeurs sont remplacées par </w:t>
            </w:r>
            <w:r>
              <w:rPr>
                <w:rFonts w:ascii="Consolas" w:cs="Consolas" w:eastAsia="Consolas" w:hAnsi="Consolas"/>
                <w:color w:val="0B4D47"/>
                <w:sz w:val="18"/>
                <w:szCs w:val="18"/>
              </w:rPr>
              <w:t xml:space="preserve">$1</w:t>
            </w:r>
            <w:r>
              <w:t xml:space="preserve">, </w:t>
            </w:r>
            <w:r>
              <w:rPr>
                <w:rFonts w:ascii="Consolas" w:cs="Consolas" w:eastAsia="Consolas" w:hAnsi="Consolas"/>
                <w:color w:val="0B4D47"/>
                <w:sz w:val="18"/>
                <w:szCs w:val="18"/>
              </w:rPr>
              <w:t xml:space="preserve">$2</w:t>
            </w:r>
            <w:r>
              <w:t xml:space="preserve">…) et ne contient aucune
donnée de patient. Aucun autre profil, y compris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DIRECTION</w:t>
            </w:r>
            <w:r>
              <w:t xml:space="preserve">, n'y accède. </w:t>
            </w:r>
            <w:r>
              <w:rPr>
                <w:i/>
                <w:iCs/>
              </w:rPr>
              <w:t xml:space="preserve">Sources :</w:t>
            </w:r>
            <w:r>
              <w:t xml:space="preserve">
</w:t>
            </w:r>
            <w:r>
              <w:rPr>
                <w:rFonts w:ascii="Consolas" w:cs="Consolas" w:eastAsia="Consolas" w:hAnsi="Consolas"/>
                <w:color w:val="0B4D47"/>
                <w:sz w:val="18"/>
                <w:szCs w:val="18"/>
              </w:rPr>
              <w:t xml:space="preserve">SupervisionBaseRestController</w:t>
            </w:r>
            <w:r>
              <w:t xml:space="preserve">, </w:t>
            </w:r>
            <w:r>
              <w:rPr>
                <w:rFonts w:ascii="Consolas" w:cs="Consolas" w:eastAsia="Consolas" w:hAnsi="Consolas"/>
                <w:color w:val="0B4D47"/>
                <w:sz w:val="18"/>
                <w:szCs w:val="18"/>
              </w:rPr>
              <w:t xml:space="preserve">SupervisionBaseService</w:t>
            </w:r>
            <w:r>
              <w:t xml:space="preserve">, </w:t>
            </w:r>
            <w:r>
              <w:rPr>
                <w:rFonts w:ascii="Consolas" w:cs="Consolas" w:eastAsia="Consolas" w:hAnsi="Consolas"/>
                <w:color w:val="0B4D47"/>
                <w:sz w:val="18"/>
                <w:szCs w:val="18"/>
              </w:rPr>
              <w:t xml:space="preserve">PgStatStatementsAdapter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Gravité d'une requête</w:t>
            </w:r>
            <w:r>
              <w:t xml:space="preserve"> : </w:t>
            </w:r>
            <w:r>
              <w:rPr>
                <w:rFonts w:ascii="Consolas" w:cs="Consolas" w:eastAsia="Consolas" w:hAnsi="Consolas"/>
                <w:color w:val="0B4D47"/>
                <w:sz w:val="18"/>
                <w:szCs w:val="18"/>
              </w:rPr>
              <w:t xml:space="preserve">CRITIQUE</w:t>
            </w:r>
            <w:r>
              <w:t xml:space="preserve"> si sa durée moyenne atteint 500 ms ; </w:t>
            </w:r>
            <w:r>
              <w:rPr>
                <w:rFonts w:ascii="Consolas" w:cs="Consolas" w:eastAsia="Consolas" w:hAnsi="Consolas"/>
                <w:color w:val="0B4D47"/>
                <w:sz w:val="18"/>
                <w:szCs w:val="18"/>
              </w:rPr>
              <w:t xml:space="preserve">ATTENTION</w:t>
            </w:r>
            <w:r>
              <w:t xml:space="preserve"> si elle
atteint 100 ms ou si elle pèse au moins 20 % du temps total de la base ; sinon </w:t>
            </w:r>
            <w:r>
              <w:rPr>
                <w:rFonts w:ascii="Consolas" w:cs="Consolas" w:eastAsia="Consolas" w:hAnsi="Consolas"/>
                <w:color w:val="0B4D47"/>
                <w:sz w:val="18"/>
                <w:szCs w:val="18"/>
              </w:rPr>
              <w:t xml:space="preserve">NORMAL</w:t>
            </w:r>
            <w:r>
              <w:t xml:space="preserve">. </w:t>
            </w:r>
            <w:r>
              <w:rPr>
                <w:i/>
                <w:iCs/>
              </w:rPr>
              <w:t xml:space="preserve">Source :</w:t>
            </w:r>
            <w:r>
              <w:t xml:space="preserve"> </w:t>
            </w:r>
            <w:r>
              <w:rPr>
                <w:rFonts w:ascii="Consolas" w:cs="Consolas" w:eastAsia="Consolas" w:hAnsi="Consolas"/>
                <w:color w:val="0B4D47"/>
                <w:sz w:val="18"/>
                <w:szCs w:val="18"/>
              </w:rPr>
              <w:t xml:space="preserve">NiveauRequete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Mesure indisponible</w:t>
            </w:r>
            <w:r>
              <w:t xml:space="preserve"> : en développement local (base H2), si l'extension n'est pas installée
(migration Flyway V30 non appliquée) ou si le serveur PostgreSQL n'a pas chargé </w:t>
            </w:r>
            <w:r>
              <w:rPr>
                <w:rFonts w:ascii="Consolas" w:cs="Consolas" w:eastAsia="Consolas" w:hAnsi="Consolas"/>
                <w:color w:val="0B4D47"/>
                <w:sz w:val="18"/>
                <w:szCs w:val="18"/>
              </w:rPr>
              <w:t xml:space="preserve">pg_stat_statements</w:t>
            </w:r>
            <w:r>
              <w:t xml:space="preserve">, l'écran
l'indique avec la raison (</w:t>
            </w:r>
            <w:r>
              <w:rPr>
                <w:rFonts w:ascii="Consolas" w:cs="Consolas" w:eastAsia="Consolas" w:hAnsi="Consolas"/>
                <w:color w:val="0B4D47"/>
                <w:sz w:val="18"/>
                <w:szCs w:val="18"/>
              </w:rPr>
              <w:t xml:space="preserve">BASE_NON_POSTGRESQL</w:t>
            </w:r>
            <w:r>
              <w:t xml:space="preserve">, </w:t>
            </w:r>
            <w:r>
              <w:rPr>
                <w:rFonts w:ascii="Consolas" w:cs="Consolas" w:eastAsia="Consolas" w:hAnsi="Consolas"/>
                <w:color w:val="0B4D47"/>
                <w:sz w:val="18"/>
                <w:szCs w:val="18"/>
              </w:rPr>
              <w:t xml:space="preserve">EXTENSION_ABSENTE</w:t>
            </w:r>
            <w:r>
              <w:t xml:space="preserve">, </w:t>
            </w:r>
            <w:r>
              <w:rPr>
                <w:rFonts w:ascii="Consolas" w:cs="Consolas" w:eastAsia="Consolas" w:hAnsi="Consolas"/>
                <w:color w:val="0B4D47"/>
                <w:sz w:val="18"/>
                <w:szCs w:val="18"/>
              </w:rPr>
              <w:t xml:space="preserve">PRELOAD_ABSENT</w:t>
            </w:r>
            <w:r>
              <w:t xml:space="preserve">) et ne liste rien. </w:t>
            </w:r>
            <w:r>
              <w:rPr>
                <w:i/>
                <w:iCs/>
              </w:rPr>
              <w:t xml:space="preserve">Source :</w:t>
            </w:r>
            <w:r>
              <w:t xml:space="preserve">
</w:t>
            </w:r>
            <w:r>
              <w:rPr>
                <w:rFonts w:ascii="Consolas" w:cs="Consolas" w:eastAsia="Consolas" w:hAnsi="Consolas"/>
                <w:color w:val="0B4D47"/>
                <w:sz w:val="18"/>
                <w:szCs w:val="18"/>
              </w:rPr>
              <w:t xml:space="preserve">PgStatStatementsAdapter.statut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Remise à zéro des compteurs</w:t>
            </w:r>
            <w:r>
              <w:t xml:space="preserve">, après confirmation, pour mesurer l'effet d'une optimisation sur
quelques jours ; tracée au journal d'audit comme toute écriture (RG-SEC-050). Refusée si la mesure est indisponible
(</w:t>
            </w:r>
            <w:r>
              <w:rPr>
                <w:rFonts w:ascii="Consolas" w:cs="Consolas" w:eastAsia="Consolas" w:hAnsi="Consolas"/>
                <w:color w:val="0B4D47"/>
                <w:sz w:val="18"/>
                <w:szCs w:val="18"/>
              </w:rPr>
              <w:t xml:space="preserve">SUPERVISION_INDISPONIBLE</w:t>
            </w:r>
            <w:r>
              <w:t xml:space="preserve">) ou si PostgreSQL refuse l'opération faute de droits
(</w:t>
            </w:r>
            <w:r>
              <w:rPr>
                <w:rFonts w:ascii="Consolas" w:cs="Consolas" w:eastAsia="Consolas" w:hAnsi="Consolas"/>
                <w:color w:val="0B4D47"/>
                <w:sz w:val="18"/>
                <w:szCs w:val="18"/>
              </w:rPr>
              <w:t xml:space="preserve">SUPERVISION_REINITIALISATION_IMPOSSIBLE</w:t>
            </w:r>
            <w:r>
              <w:t xml:space="preserve">). </w:t>
            </w:r>
            <w:r>
              <w:rPr>
                <w:i/>
                <w:iCs/>
              </w:rPr>
              <w:t xml:space="preserve">Source :</w:t>
            </w:r>
            <w:r>
              <w:t xml:space="preserve"> </w:t>
            </w:r>
            <w:r>
              <w:rPr>
                <w:rFonts w:ascii="Consolas" w:cs="Consolas" w:eastAsia="Consolas" w:hAnsi="Consolas"/>
                <w:color w:val="0B4D47"/>
                <w:sz w:val="18"/>
                <w:szCs w:val="18"/>
              </w:rPr>
              <w:t xml:space="preserve">SupervisionBaseService.reinitialiser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Pistes d'amélioration par requête.</w:t>
            </w:r>
            <w:r>
              <w:t xml:space="preserve"> Chaque requête du classement porte des conseils déduits de
son texte normalisé et de ses compteurs (ce sont des indices, à confirmer par l'analyse) : trop de lignes par appel
sans </w:t>
            </w:r>
            <w:r>
              <w:rPr>
                <w:rFonts w:ascii="Consolas" w:cs="Consolas" w:eastAsia="Consolas" w:hAnsi="Consolas"/>
                <w:color w:val="0B4D47"/>
                <w:sz w:val="18"/>
                <w:szCs w:val="18"/>
              </w:rPr>
              <w:t xml:space="preserve">LIMIT</w:t>
            </w:r>
            <w:r>
              <w:t xml:space="preserve"> (≥ 1 000), lente avec un filtre mais peu de lignes renvoyées (≥ 50 ms et &lt; 50 lignes : lecture complète
probable), </w:t>
            </w:r>
            <w:r>
              <w:rPr>
                <w:rFonts w:ascii="Consolas" w:cs="Consolas" w:eastAsia="Consolas" w:hAnsi="Consolas"/>
                <w:color w:val="0B4D47"/>
                <w:sz w:val="18"/>
                <w:szCs w:val="18"/>
              </w:rPr>
              <w:t xml:space="preserve">COUNT(*)</w:t>
            </w:r>
            <w:r>
              <w:t xml:space="preserve"> lent, tri ou jointure qui déborde sur disque, taux de cache sous 90 %, écriture lente (≥ 50 ms),
appels très nombreux et rapides pesant au moins 10 % du total (schéma « N+1 », cache), </w:t>
            </w:r>
            <w:r>
              <w:rPr>
                <w:rFonts w:ascii="Consolas" w:cs="Consolas" w:eastAsia="Consolas" w:hAnsi="Consolas"/>
                <w:color w:val="0B4D47"/>
                <w:sz w:val="18"/>
                <w:szCs w:val="18"/>
              </w:rPr>
              <w:t xml:space="preserve">SELECT *</w:t>
            </w:r>
            <w:r>
              <w:t xml:space="preserve">, recherche
</w:t>
            </w:r>
            <w:r>
              <w:rPr>
                <w:rFonts w:ascii="Consolas" w:cs="Consolas" w:eastAsia="Consolas" w:hAnsi="Consolas"/>
                <w:color w:val="0B4D47"/>
                <w:sz w:val="18"/>
                <w:szCs w:val="18"/>
              </w:rPr>
              <w:t xml:space="preserve">LIKE</w:t>
            </w:r>
            <w:r>
              <w:t xml:space="preserve">/</w:t>
            </w:r>
            <w:r>
              <w:rPr>
                <w:rFonts w:ascii="Consolas" w:cs="Consolas" w:eastAsia="Consolas" w:hAnsi="Consolas"/>
                <w:color w:val="0B4D47"/>
                <w:sz w:val="18"/>
                <w:szCs w:val="18"/>
              </w:rPr>
              <w:t xml:space="preserve">ILIKE</w:t>
            </w:r>
            <w:r>
              <w:t xml:space="preserve">, fonction appliquée à la colonne filtrée, longue liste </w:t>
            </w:r>
            <w:r>
              <w:rPr>
                <w:rFonts w:ascii="Consolas" w:cs="Consolas" w:eastAsia="Consolas" w:hAnsi="Consolas"/>
                <w:color w:val="0B4D47"/>
                <w:sz w:val="18"/>
                <w:szCs w:val="18"/>
              </w:rPr>
              <w:t xml:space="preserve">IN</w:t>
            </w:r>
            <w:r>
              <w:t xml:space="preserve">, durée maximale très supérieure à la
moyenne. Les actions précèdent les informations. </w:t>
            </w:r>
            <w:r>
              <w:rPr>
                <w:i/>
                <w:iCs/>
              </w:rPr>
              <w:t xml:space="preserve">Source :</w:t>
            </w:r>
            <w:r>
              <w:t xml:space="preserve"> </w:t>
            </w:r>
            <w:r>
              <w:rPr>
                <w:rFonts w:ascii="Consolas" w:cs="Consolas" w:eastAsia="Consolas" w:hAnsi="Consolas"/>
                <w:color w:val="0B4D47"/>
                <w:sz w:val="18"/>
                <w:szCs w:val="18"/>
              </w:rPr>
              <w:t xml:space="preserve">ConseilsRequete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du plan d'exécution</w:t>
            </w:r>
            <w:r>
              <w:t xml:space="preserve"> (bouton « Analyser »). Le serveur relit le texte de la requête à
partir de son identifiant mesuré — </w:t>
            </w:r>
            <w:r>
              <w:rPr>
                <w:b/>
                <w:bCs/>
              </w:rPr>
              <w:t xml:space="preserve">le client ne fournit jamais de SQL</w:t>
            </w:r>
            <w:r>
              <w:t xml:space="preserve"> — et établit son plan générique </w:t>
            </w:r>
            <w:r>
              <w:rPr>
                <w:b/>
                <w:bCs/>
              </w:rPr>
              <w:t xml:space="preserve">sans
l'exécuter</w:t>
            </w:r>
            <w:r>
              <w:t xml:space="preserve"> (</w:t>
            </w:r>
            <w:r>
              <w:rPr>
                <w:rFonts w:ascii="Consolas" w:cs="Consolas" w:eastAsia="Consolas" w:hAnsi="Consolas"/>
                <w:color w:val="0B4D47"/>
                <w:sz w:val="18"/>
                <w:szCs w:val="18"/>
              </w:rPr>
              <w:t xml:space="preserve">PREPARE</w:t>
            </w:r>
            <w:r>
              <w:t xml:space="preserve"> + </w:t>
            </w:r>
            <w:r>
              <w:rPr>
                <w:rFonts w:ascii="Consolas" w:cs="Consolas" w:eastAsia="Consolas" w:hAnsi="Consolas"/>
                <w:color w:val="0B4D47"/>
                <w:sz w:val="18"/>
                <w:szCs w:val="18"/>
              </w:rPr>
              <w:t xml:space="preserve">EXPLAIN</w:t>
            </w:r>
            <w:r>
              <w:t xml:space="preserve"> avec plan générique, transaction en lecture seule limitée à 5 s, requête préparée
libérée). Seules les lectures à instruction unique sont analysées (sans écriture cachée dans un </w:t>
            </w:r>
            <w:r>
              <w:rPr>
                <w:rFonts w:ascii="Consolas" w:cs="Consolas" w:eastAsia="Consolas" w:hAnsi="Consolas"/>
                <w:color w:val="0B4D47"/>
                <w:sz w:val="18"/>
                <w:szCs w:val="18"/>
              </w:rPr>
              <w:t xml:space="preserve">WITH</w:t>
            </w:r>
            <w:r>
              <w:t xml:space="preserve">). Le résultat
liste les tables lues en entier et conclut : </w:t>
            </w:r>
            <w:r>
              <w:rPr>
                <w:rFonts w:ascii="Consolas" w:cs="Consolas" w:eastAsia="Consolas" w:hAnsi="Consolas"/>
                <w:color w:val="0B4D47"/>
                <w:sz w:val="18"/>
                <w:szCs w:val="18"/>
              </w:rPr>
              <w:t xml:space="preserve">INDEX_RECOMMANDE</w:t>
            </w:r>
            <w:r>
              <w:t xml:space="preserve"> (avec un ordre </w:t>
            </w:r>
            <w:r>
              <w:rPr>
                <w:rFonts w:ascii="Consolas" w:cs="Consolas" w:eastAsia="Consolas" w:hAnsi="Consolas"/>
                <w:color w:val="0B4D47"/>
                <w:sz w:val="18"/>
                <w:szCs w:val="18"/>
              </w:rPr>
              <w:t xml:space="preserve">CREATE INDEX</w:t>
            </w:r>
            <w:r>
              <w:t xml:space="preserve"> à étudier : égalités
puis
première colonne de plage, trois colonnes au plus), </w:t>
            </w:r>
            <w:r>
              <w:rPr>
                <w:rFonts w:ascii="Consolas" w:cs="Consolas" w:eastAsia="Consolas" w:hAnsi="Consolas"/>
                <w:color w:val="0B4D47"/>
                <w:sz w:val="18"/>
                <w:szCs w:val="18"/>
              </w:rPr>
              <w:t xml:space="preserve">TABLE_PETITE</w:t>
            </w:r>
            <w:r>
              <w:t xml:space="preserve"> (moins de 1 000 lignes : lire tout est plus
rapide),
</w:t>
            </w:r>
            <w:r>
              <w:rPr>
                <w:rFonts w:ascii="Consolas" w:cs="Consolas" w:eastAsia="Consolas" w:hAnsi="Consolas"/>
                <w:color w:val="0B4D47"/>
                <w:sz w:val="18"/>
                <w:szCs w:val="18"/>
              </w:rPr>
              <w:t xml:space="preserve">INDEX_PRESENT</w:t>
            </w:r>
            <w:r>
              <w:t xml:space="preserve"> (un index commence déjà par la première colonne filtrée : le plan générique peut différer du réel) ou
</w:t>
            </w:r>
            <w:r>
              <w:rPr>
                <w:rFonts w:ascii="Consolas" w:cs="Consolas" w:eastAsia="Consolas" w:hAnsi="Consolas"/>
                <w:color w:val="0B4D47"/>
                <w:sz w:val="18"/>
                <w:szCs w:val="18"/>
              </w:rPr>
              <w:t xml:space="preserve">SANS_FILTRE</w:t>
            </w:r>
            <w:r>
              <w:t xml:space="preserve"> (lecture complète voulue). La suggestion est une piste à valider, jamais appliquée automatiquement.
Requête absente des mesures : </w:t>
            </w:r>
            <w:r>
              <w:rPr>
                <w:rFonts w:ascii="Consolas" w:cs="Consolas" w:eastAsia="Consolas" w:hAnsi="Consolas"/>
                <w:color w:val="0B4D47"/>
                <w:sz w:val="18"/>
                <w:szCs w:val="18"/>
              </w:rPr>
              <w:t xml:space="preserve">SUPERVISION_REQUETE_INTROUVABLE</w:t>
            </w:r>
            <w:r>
              <w:t xml:space="preserve">. </w:t>
            </w:r>
            <w:r>
              <w:rPr>
                <w:i/>
                <w:iCs/>
              </w:rPr>
              <w:t xml:space="preserve">Sources :</w:t>
            </w:r>
            <w:r>
              <w:t xml:space="preserve"> </w:t>
            </w:r>
            <w:r>
              <w:rPr>
                <w:rFonts w:ascii="Consolas" w:cs="Consolas" w:eastAsia="Consolas" w:hAnsi="Consolas"/>
                <w:color w:val="0B4D47"/>
                <w:sz w:val="18"/>
                <w:szCs w:val="18"/>
              </w:rPr>
              <w:t xml:space="preserve">AnalyseurPlan</w:t>
            </w:r>
            <w:r>
              <w:t xml:space="preserve">, </w:t>
            </w:r>
            <w:r>
              <w:rPr>
                <w:rFonts w:ascii="Consolas" w:cs="Consolas" w:eastAsia="Consolas" w:hAnsi="Consolas"/>
                <w:color w:val="0B4D47"/>
                <w:sz w:val="18"/>
                <w:szCs w:val="18"/>
              </w:rPr>
              <w:t xml:space="preserve">PgPlanAdapter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Santé de la base</w:t>
            </w:r>
            <w:r>
              <w:t xml:space="preserve"> (onglet dédié, PostgreSQL uniquement) : taille, part des lectures servies par
le cache, connexions utilisées sur le maximum, quinze plus grosses tables (taille, lignes, part de lignes mortes,
lectures complètes et par index) et index jamais utilisés. Points d'attention : cache sous 95 % (critique sous 90 %),
connexions à 80 % du maximum, lignes mortes au moins 20 %, grande table lue en entier de façon répétée, index
inutilisés. Chaque table est positionnée face aux seuils de l'étude de partitionnement : </w:t>
            </w:r>
            <w:r>
              <w:rPr>
                <w:rFonts w:ascii="Consolas" w:cs="Consolas" w:eastAsia="Consolas" w:hAnsi="Consolas"/>
                <w:color w:val="0B4D47"/>
                <w:sz w:val="18"/>
                <w:szCs w:val="18"/>
              </w:rPr>
              <w:t xml:space="preserve">A_ETUDIER</w:t>
            </w:r>
            <w:r>
              <w:t xml:space="preserve"> à 20 millions de
lignes ou 10 Go, </w:t>
            </w:r>
            <w:r>
              <w:rPr>
                <w:rFonts w:ascii="Consolas" w:cs="Consolas" w:eastAsia="Consolas" w:hAnsi="Consolas"/>
                <w:color w:val="0B4D47"/>
                <w:sz w:val="18"/>
                <w:szCs w:val="18"/>
              </w:rPr>
              <w:t xml:space="preserve">A_SURVEILLER</w:t>
            </w:r>
            <w:r>
              <w:t xml:space="preserve"> à la moitié. </w:t>
            </w:r>
            <w:r>
              <w:rPr>
                <w:i/>
                <w:iCs/>
              </w:rPr>
              <w:t xml:space="preserve">Sources :</w:t>
            </w:r>
            <w:r>
              <w:t xml:space="preserve"> </w:t>
            </w:r>
            <w:r>
              <w:rPr>
                <w:rFonts w:ascii="Consolas" w:cs="Consolas" w:eastAsia="Consolas" w:hAnsi="Consolas"/>
                <w:color w:val="0B4D47"/>
                <w:sz w:val="18"/>
                <w:szCs w:val="18"/>
              </w:rPr>
              <w:t xml:space="preserve">DiagnosticSante</w:t>
            </w:r>
            <w:r>
              <w:t xml:space="preserve">, </w:t>
            </w:r>
            <w:r>
              <w:rPr>
                <w:rFonts w:ascii="Consolas" w:cs="Consolas" w:eastAsia="Consolas" w:hAnsi="Consolas"/>
                <w:color w:val="0B4D47"/>
                <w:sz w:val="18"/>
                <w:szCs w:val="18"/>
              </w:rPr>
              <w:t xml:space="preserve">PgSanteBaseAdapter</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8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de l'horizon 1 à 8 (défaut du formulaire : 4 ; huit semaines couvrent une absence déclarée
environ deux mois à l'avance), pour </w:t>
            </w:r>
            <w:r>
              <w:rPr>
                <w:b/>
                <w:bCs/>
              </w:rPr>
              <w:t xml:space="preserve">tous</w:t>
            </w:r>
            <w:r>
              <w:t xml:space="preserve"> les périmètres :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w:t>
            </w:r>
            <w:r>
              <w:rPr>
                <w:b/>
                <w:bCs/>
              </w:rPr>
              <w:t xml:space="preserve">calculent</w:t>
            </w:r>
            <w:r>
              <w:t xml:space="preserve"> chaque
semaine (dates réelles) ; les autres périmètres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calculent </w:t>
            </w:r>
            <w:r>
              <w:rPr>
                <w:b/>
                <w:bCs/>
              </w:rPr>
              <w:t xml:space="preserve">une semaine type</w:t>
            </w:r>
            <w:r>
              <w:t xml:space="preserve">,
que le planning proposé </w:t>
            </w:r>
            <w:r>
              <w:rPr>
                <w:b/>
                <w:bCs/>
              </w:rPr>
              <w:t xml:space="preserve">projette sur chaque semaine de l'horizon</w:t>
            </w:r>
            <w:r>
              <w:t xml:space="preserve"> (fermetures, jours fériés, absences et
remplaçants datés ; vacations proposées reconduites à l'identique),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8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Couverture d'une absence sur sa période.</w:t>
            </w:r>
            <w:r>
              <w:t xml:space="preserve"> L'alerte d'absence d'un infirmier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ouvre l'optimisation en </w:t>
            </w:r>
            <w:r>
              <w:rPr>
                <w:rFonts w:ascii="Consolas" w:cs="Consolas" w:eastAsia="Consolas" w:hAnsi="Consolas"/>
                <w:color w:val="0B4D47"/>
                <w:sz w:val="18"/>
                <w:szCs w:val="18"/>
              </w:rPr>
              <w:t xml:space="preserve">COUVERTURE</w:t>
            </w:r>
            <w:r>
              <w:t xml:space="preserve"> avec le </w:t>
            </w:r>
            <w:r>
              <w:rPr>
                <w:b/>
                <w:bCs/>
              </w:rPr>
              <w:t xml:space="preserve">début</w:t>
            </w:r>
            <w:r>
              <w:t xml:space="preserve">
(aujourd'hui, ou le début de l'absence si elle est à venir) et le </w:t>
            </w:r>
            <w:r>
              <w:rPr>
                <w:b/>
                <w:bCs/>
              </w:rPr>
              <w:t xml:space="preserve">nombre de semaines</w:t>
            </w:r>
            <w:r>
              <w:t xml:space="preserve"> nécessaires pour atteindre
sa fin (8 au plus) : le calcul ne se limite plus à la semaine en cours. Le médecin, qui ne lance pas l'optimisation,
est conduit au planning de la semaine de l'absence. </w:t>
            </w:r>
            <w:r>
              <w:rPr>
                <w:i/>
                <w:iCs/>
              </w:rPr>
              <w:t xml:space="preserve">Sources :</w:t>
            </w:r>
            <w:r>
              <w:t xml:space="preserve"> </w:t>
            </w:r>
            <w:r>
              <w:rPr>
                <w:rFonts w:ascii="Consolas" w:cs="Consolas" w:eastAsia="Consolas" w:hAnsi="Consolas"/>
                <w:color w:val="0B4D47"/>
                <w:sz w:val="18"/>
                <w:szCs w:val="18"/>
              </w:rPr>
              <w:t xml:space="preserve">ParametresOptimisation.semainesJusqua</w:t>
            </w:r>
            <w:r>
              <w:t xml:space="preserve">,
</w:t>
            </w:r>
            <w:r>
              <w:rPr>
                <w:rFonts w:ascii="Consolas" w:cs="Consolas" w:eastAsia="Consolas" w:hAnsi="Consolas"/>
                <w:color w:val="0B4D47"/>
                <w:sz w:val="18"/>
                <w:szCs w:val="18"/>
              </w:rPr>
              <w:t xml:space="preserve">horizonPourAbsence</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Parcours d'une proposition semaine par semaine.</w:t>
            </w:r>
            <w:r>
              <w:t xml:space="preserve"> Le planning proposé affiche « Semaine n sur N »
et se parcourt avec les flèches sur toute la période de l'horizon. Une proposition d'une seule semaine l'indique et
invite à relancer le calcul avec plus de semaines. </w:t>
            </w:r>
            <w:r>
              <w:rPr>
                <w:i/>
                <w:iCs/>
              </w:rPr>
              <w:t xml:space="preserve">Sources :</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PlanningProposeComponent</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absents dans une proposition « semaine type ».</w:t>
            </w:r>
            <w:r>
              <w:t xml:space="preserve"> Un calcul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ou
</w:t>
            </w:r>
            <w:r>
              <w:rPr>
                <w:rFonts w:ascii="Consolas" w:cs="Consolas" w:eastAsia="Consolas" w:hAnsi="Consolas"/>
                <w:color w:val="0B4D47"/>
                <w:sz w:val="18"/>
                <w:szCs w:val="18"/>
              </w:rPr>
              <w:t xml:space="preserve">COMPLET</w:t>
            </w:r>
            <w:r>
              <w:t xml:space="preserve"> ignore les absences datées. Dans le planning proposé, un infirmier absent un jour donné n'est </w:t>
            </w:r>
            <w:r>
              <w:rPr>
                <w:b/>
                <w:bCs/>
              </w:rPr>
              <w:t xml:space="preserve">jamais
présenté comme présent</w:t>
            </w:r>
            <w:r>
              <w:t xml:space="preserve"> ce jour-là, dans aucune case : il n'est listé qu'en absent (barré), sa vacation reste
« à pourvoir » et le manque d'infirmier est signalé. L'écran le dit et propose </w:t>
            </w:r>
            <w:r>
              <w:rPr>
                <w:b/>
                <w:bCs/>
              </w:rPr>
              <w:t xml:space="preserve">« Chercher des remplaçants »</w:t>
            </w:r>
            <w:r>
              <w:t xml:space="preserve"> :
la couverture est préremplie sur la période de la proposition (8 semaines au plus) ; c'est elle qui propose les
remplaçants (RG-PLN-105). </w:t>
            </w:r>
            <w:r>
              <w:rPr>
                <w:i/>
                <w:iCs/>
              </w:rPr>
              <w:t xml:space="preserve">Sources :</w:t>
            </w:r>
            <w:r>
              <w:t xml:space="preserve"> </w:t>
            </w:r>
            <w:r>
              <w:rPr>
                <w:rFonts w:ascii="Consolas" w:cs="Consolas" w:eastAsia="Consolas" w:hAnsi="Consolas"/>
                <w:color w:val="0B4D47"/>
                <w:sz w:val="18"/>
                <w:szCs w:val="18"/>
              </w:rPr>
              <w:t xml:space="preserve">CalendrierPropositionService.infirmiers</w:t>
            </w:r>
            <w:r>
              <w:t xml:space="preserve">, </w:t>
            </w:r>
            <w:r>
              <w:rPr>
                <w:rFonts w:ascii="Consolas" w:cs="Consolas" w:eastAsia="Consolas" w:hAnsi="Consolas"/>
                <w:color w:val="0B4D47"/>
                <w:sz w:val="18"/>
                <w:szCs w:val="18"/>
              </w:rPr>
              <w:t xml:space="preserve">PlanningProposeComponent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au moins, </w:t>
            </w:r>
            <w:r>
              <w:rPr>
                <w:b/>
                <w:bCs/>
              </w:rPr>
              <w:t xml:space="preserve">étendue jusqu'à la fin de la dernière absence d'infirmier à venir, 8 semaines au plus</w:t>
            </w:r>
            <w:r>
              <w:t xml:space="preserve"> : une
absence planifiée dans plusieurs semaines est couverte dès maintenant), la maintenance (2 semaines) à partir de la
semaine en cours, puis le placement des patients (semaine type, projetée sur les deux semaines à partir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Comptes comptables de l'article</w:t>
            </w:r>
            <w:r>
              <w:t xml:space="preserve"> (facultatifs) : la fiche peut préciser un </w:t>
            </w:r>
            <w:r>
              <w:rPr>
                <w:b/>
                <w:bCs/>
              </w:rPr>
              <w:t xml:space="preserve">compte de stock</w:t>
            </w:r>
            <w:r>
              <w:t xml:space="preserve"> et
un </w:t>
            </w:r>
            <w:r>
              <w:rPr>
                <w:b/>
                <w:bCs/>
              </w:rPr>
              <w:t xml:space="preserve">compte de consommation</w:t>
            </w:r>
            <w:r>
              <w:t xml:space="preserve"> propres à l'article (1 à 20 lettres ou chiffres, sinon </w:t>
            </w:r>
            <w:r>
              <w:rPr>
                <w:rFonts w:ascii="Consolas" w:cs="Consolas" w:eastAsia="Consolas" w:hAnsi="Consolas"/>
                <w:color w:val="0B4D47"/>
                <w:sz w:val="18"/>
                <w:szCs w:val="18"/>
              </w:rPr>
              <w:t xml:space="preserve">ARTICLE_COMPTE_INVALIDE</w:t>
            </w:r>
            <w:r>
              <w:t xml:space="preserve">).
Laissés vides, ce sont les comptes du centre qui s'appliquent à la comptabilisation du stock (RG-CPT-011 à 014).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w:t>
            </w:r>
            <w:r>
              <w:t xml:space="preserve"> par facture, dans le journal que le centre a choisi pour les ventes (</w:t>
            </w:r>
            <w:r>
              <w:rPr>
                <w:rFonts w:ascii="Consolas" w:cs="Consolas" w:eastAsia="Consolas" w:hAnsi="Consolas"/>
                <w:color w:val="0B4D47"/>
                <w:sz w:val="18"/>
                <w:szCs w:val="18"/>
              </w:rPr>
              <w:t xml:space="preserve">VE</w:t>
            </w:r>
            <w:r>
              <w:t xml:space="preserve"> par
défaut, RG-CPT-010)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 </w:t>
            </w:r>
            <w:r>
              <w:rPr>
                <w:b/>
                <w:bCs/>
              </w:rPr>
              <w:t xml:space="preserve">quel que soit le journal</w:t>
            </w:r>
            <w:r>
              <w:t xml:space="preserve"> : changer le journal des ventes ne recrée jamais une écriture déjà 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choisi pour les règlements en banque (</w:t>
            </w:r>
            <w:r>
              <w:rPr>
                <w:rFonts w:ascii="Consolas" w:cs="Consolas" w:eastAsia="Consolas" w:hAnsi="Consolas"/>
                <w:color w:val="0B4D47"/>
                <w:sz w:val="18"/>
                <w:szCs w:val="18"/>
              </w:rPr>
              <w:t xml:space="preserve">BQ</w:t>
            </w:r>
            <w:r>
              <w:t xml:space="preserve"> par défaut, débit
512) ou en caisse (</w:t>
            </w:r>
            <w:r>
              <w:rPr>
                <w:rFonts w:ascii="Consolas" w:cs="Consolas" w:eastAsia="Consolas" w:hAnsi="Consolas"/>
                <w:color w:val="0B4D47"/>
                <w:sz w:val="18"/>
                <w:szCs w:val="18"/>
              </w:rPr>
              <w:t xml:space="preserve">CA</w:t>
            </w:r>
            <w:r>
              <w:t xml:space="preserve"> par défaut,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w:t>
            </w:r>
            <w:r>
              <w:rPr>
                <w:b/>
                <w:bCs/>
              </w:rPr>
              <w:t xml:space="preserve">entièrement paramétrable</w:t>
            </w:r>
            <w:r>
              <w:t xml:space="preserve"> depuis l'écran
« Paramétrage comptable » (</w:t>
            </w:r>
            <w:r>
              <w:rPr>
                <w:rFonts w:ascii="Consolas" w:cs="Consolas" w:eastAsia="Consolas" w:hAnsi="Consolas"/>
                <w:color w:val="0B4D47"/>
                <w:sz w:val="18"/>
                <w:szCs w:val="18"/>
              </w:rPr>
              <w:t xml:space="preserve">ADMIN</w:t>
            </w:r>
            <w:r>
              <w:t xml:space="preserve">) : comptes ventes, clients (patient, CNAS, CASNOS,
mutuelle, autre), banque, caisse — tous obligatoires ; valeurs par défaut :
706, 411100, 411200, 411300, 411400, 411500, 512, 530, 44571 (TVA collectée, facultative) ; comptes du stock
(RG-CPT-011). Un compte comporte 1 à 20 lettres ou chiffres. Le paramétrage ne vaut que pour les écritures générées
ensuite : les écritures déjà passées ne sont pas réimputées. </w:t>
            </w:r>
            <w:r>
              <w:rPr>
                <w:b/>
                <w:bCs/>
              </w:rPr>
              <w:t xml:space="preserve">Règles de TVA comptables</w:t>
            </w:r>
            <w:r>
              <w:t xml:space="preserve"> versionnées dans le temps
(type de prestation, taux ≥ 0, exonération, début de validité obligatoire). </w:t>
            </w:r>
            <w:r>
              <w:rPr>
                <w:i/>
                <w:iCs/>
              </w:rPr>
              <w:t xml:space="preserve">Source :</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/mapping</w:t>
            </w:r>
            <w:r>
              <w:t xml:space="preserve">) → </w:t>
            </w:r>
            <w:r>
              <w:rPr>
                <w:rFonts w:ascii="Consolas" w:cs="Consolas" w:eastAsia="Consolas" w:hAnsi="Consolas"/>
                <w:color w:val="0B4D47"/>
                <w:sz w:val="18"/>
                <w:szCs w:val="18"/>
              </w:rPr>
              <w:t xml:space="preserve">ComptabiliteUseCase</w:t>
            </w:r>
            <w:r>
              <w:t xml:space="preserve"> → </w:t>
            </w:r>
            <w:r>
              <w:rPr>
                <w:rFonts w:ascii="Consolas" w:cs="Consolas" w:eastAsia="Consolas" w:hAnsi="Consolas"/>
                <w:color w:val="0B4D47"/>
                <w:sz w:val="18"/>
                <w:szCs w:val="18"/>
              </w:rPr>
              <w:t xml:space="preserve">MappingComptablePort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et des journaux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paramétrage (comptes, journaux), règles TVA, clôture,
comptabilisation du stock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Journaux paramétrables par centre</w:t>
            </w:r>
            <w:r>
              <w:t xml:space="preserve"> : chaque centre définit librement ses journaux (code de 1 à 10
lettres majuscules ou chiffres, libellé de 100 caractères au plus, actif ou non). Tant qu'il n'a rien paramétré, il
dispose des journaux par défaut </w:t>
            </w:r>
            <w:r>
              <w:rPr>
                <w:rFonts w:ascii="Consolas" w:cs="Consolas" w:eastAsia="Consolas" w:hAnsi="Consolas"/>
                <w:color w:val="0B4D47"/>
                <w:sz w:val="18"/>
                <w:szCs w:val="18"/>
              </w:rPr>
              <w:t xml:space="preserve">VE</w:t>
            </w:r>
            <w:r>
              <w:t xml:space="preserve"> Ventes, </w:t>
            </w:r>
            <w:r>
              <w:rPr>
                <w:rFonts w:ascii="Consolas" w:cs="Consolas" w:eastAsia="Consolas" w:hAnsi="Consolas"/>
                <w:color w:val="0B4D47"/>
                <w:sz w:val="18"/>
                <w:szCs w:val="18"/>
              </w:rPr>
              <w:t xml:space="preserve">BQ</w:t>
            </w:r>
            <w:r>
              <w:t xml:space="preserve"> Banque, </w:t>
            </w:r>
            <w:r>
              <w:rPr>
                <w:rFonts w:ascii="Consolas" w:cs="Consolas" w:eastAsia="Consolas" w:hAnsi="Consolas"/>
                <w:color w:val="0B4D47"/>
                <w:sz w:val="18"/>
                <w:szCs w:val="18"/>
              </w:rPr>
              <w:t xml:space="preserve">CA</w:t>
            </w:r>
            <w:r>
              <w:t xml:space="preserve"> Caisse, </w:t>
            </w:r>
            <w:r>
              <w:rPr>
                <w:rFonts w:ascii="Consolas" w:cs="Consolas" w:eastAsia="Consolas" w:hAnsi="Consolas"/>
                <w:color w:val="0B4D47"/>
                <w:sz w:val="18"/>
                <w:szCs w:val="18"/>
              </w:rPr>
              <w:t xml:space="preserve">AC</w:t>
            </w:r>
            <w:r>
              <w:t xml:space="preserve"> Achats, </w:t>
            </w:r>
            <w:r>
              <w:rPr>
                <w:rFonts w:ascii="Consolas" w:cs="Consolas" w:eastAsia="Consolas" w:hAnsi="Consolas"/>
                <w:color w:val="0B4D47"/>
                <w:sz w:val="18"/>
                <w:szCs w:val="18"/>
              </w:rPr>
              <w:t xml:space="preserve">ST</w:t>
            </w:r>
            <w:r>
              <w:t xml:space="preserve"> Stocks ; ils sont
enregistrés comme les siens à sa première modification. Un journal </w:t>
            </w:r>
            <w:r>
              <w:rPr>
                <w:b/>
                <w:bCs/>
              </w:rPr>
              <w:t xml:space="preserve">choisi pour une opération</w:t>
            </w:r>
            <w:r>
              <w:t xml:space="preserve"> ne peut être ni
désactivé ni supprimé (</w:t>
            </w:r>
            <w:r>
              <w:rPr>
                <w:rFonts w:ascii="Consolas" w:cs="Consolas" w:eastAsia="Consolas" w:hAnsi="Consolas"/>
                <w:color w:val="0B4D47"/>
                <w:sz w:val="18"/>
                <w:szCs w:val="18"/>
              </w:rPr>
              <w:t xml:space="preserve">JOURNAL_UTILISE</w:t>
            </w:r>
            <w:r>
              <w:t xml:space="preserve">) ; un journal </w:t>
            </w:r>
            <w:r>
              <w:rPr>
                <w:b/>
                <w:bCs/>
              </w:rPr>
              <w:t xml:space="preserve">qui porte des écritures</w:t>
            </w:r>
            <w:r>
              <w:t xml:space="preserve"> se désactive mais ne se supprime
pas (</w:t>
            </w:r>
            <w:r>
              <w:rPr>
                <w:rFonts w:ascii="Consolas" w:cs="Consolas" w:eastAsia="Consolas" w:hAnsi="Consolas"/>
                <w:color w:val="0B4D47"/>
                <w:sz w:val="18"/>
                <w:szCs w:val="18"/>
              </w:rPr>
              <w:t xml:space="preserve">JOURNAL_AVEC_ECRITURES</w:t>
            </w:r>
            <w:r>
              <w:t xml:space="preserve">) ; supprimer un journal inconnu est refusé (</w:t>
            </w:r>
            <w:r>
              <w:rPr>
                <w:rFonts w:ascii="Consolas" w:cs="Consolas" w:eastAsia="Consolas" w:hAnsi="Consolas"/>
                <w:color w:val="0B4D47"/>
                <w:sz w:val="18"/>
                <w:szCs w:val="18"/>
              </w:rPr>
              <w:t xml:space="preserve">JOURNAL_INTROUVABLE</w:t>
            </w:r>
            <w:r>
              <w:t xml:space="preserve">). La liste est
paginée. </w:t>
            </w:r>
            <w:r>
              <w:rPr>
                <w:i/>
                <w:iCs/>
              </w:rPr>
              <w:t xml:space="preserve">Source :</w:t>
            </w:r>
            <w:r>
              <w:t xml:space="preserve"> </w:t>
            </w:r>
            <w:r>
              <w:rPr>
                <w:rFonts w:ascii="Consolas" w:cs="Consolas" w:eastAsia="Consolas" w:hAnsi="Consolas"/>
                <w:color w:val="0B4D47"/>
                <w:sz w:val="18"/>
                <w:szCs w:val="18"/>
              </w:rPr>
              <w:t xml:space="preserve">JournauxService</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/journaux</w:t>
            </w:r>
            <w:r>
              <w:t xml:space="preserve">) → </w:t>
            </w:r>
            <w:r>
              <w:rPr>
                <w:rFonts w:ascii="Consolas" w:cs="Consolas" w:eastAsia="Consolas" w:hAnsi="Consolas"/>
                <w:color w:val="0B4D47"/>
                <w:sz w:val="18"/>
                <w:szCs w:val="18"/>
              </w:rPr>
              <w:t xml:space="preserve">JournauxUseCase</w:t>
            </w:r>
            <w:r>
              <w:t xml:space="preserve"> → </w:t>
            </w:r>
            <w:r>
              <w:rPr>
                <w:rFonts w:ascii="Consolas" w:cs="Consolas" w:eastAsia="Consolas" w:hAnsi="Consolas"/>
                <w:color w:val="0B4D47"/>
                <w:sz w:val="18"/>
                <w:szCs w:val="18"/>
              </w:rPr>
              <w:t xml:space="preserve">JournalRepositoryPort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de chaque opération</w:t>
            </w:r>
            <w:r>
              <w:t xml:space="preserve"> : le centre choisit le journal des ventes, des règlements en banque,
des règlements en caisse, des réceptions de stock, des sorties de stock et des écarts d'inventaire (par défaut </w:t>
            </w:r>
            <w:r>
              <w:rPr>
                <w:rFonts w:ascii="Consolas" w:cs="Consolas" w:eastAsia="Consolas" w:hAnsi="Consolas"/>
                <w:color w:val="0B4D47"/>
                <w:sz w:val="18"/>
                <w:szCs w:val="18"/>
              </w:rPr>
              <w:t xml:space="preserve">VE</w:t>
            </w:r>
            <w:r>
              <w:t xml:space="preserve">,
</w:t>
            </w:r>
            <w:r>
              <w:rPr>
                <w:rFonts w:ascii="Consolas" w:cs="Consolas" w:eastAsia="Consolas" w:hAnsi="Consolas"/>
                <w:color w:val="0B4D47"/>
                <w:sz w:val="18"/>
                <w:szCs w:val="18"/>
              </w:rPr>
              <w:t xml:space="preserve">BQ</w:t>
            </w:r>
            <w:r>
              <w:t xml:space="preserve">, </w:t>
            </w:r>
            <w:r>
              <w:rPr>
                <w:rFonts w:ascii="Consolas" w:cs="Consolas" w:eastAsia="Consolas" w:hAnsi="Consolas"/>
                <w:color w:val="0B4D47"/>
                <w:sz w:val="18"/>
                <w:szCs w:val="18"/>
              </w:rPr>
              <w:t xml:space="preserve">CA</w:t>
            </w:r>
            <w:r>
              <w:t xml:space="preserve">, </w:t>
            </w:r>
            <w:r>
              <w:rPr>
                <w:rFonts w:ascii="Consolas" w:cs="Consolas" w:eastAsia="Consolas" w:hAnsi="Consolas"/>
                <w:color w:val="0B4D47"/>
                <w:sz w:val="18"/>
                <w:szCs w:val="18"/>
              </w:rPr>
              <w:t xml:space="preserve">AC</w:t>
            </w:r>
            <w:r>
              <w:t xml:space="preserve">, </w:t>
            </w:r>
            <w:r>
              <w:rPr>
                <w:rFonts w:ascii="Consolas" w:cs="Consolas" w:eastAsia="Consolas" w:hAnsi="Consolas"/>
                <w:color w:val="0B4D47"/>
                <w:sz w:val="18"/>
                <w:szCs w:val="18"/>
              </w:rPr>
              <w:t xml:space="preserve">ST</w:t>
            </w:r>
            <w:r>
              <w:t xml:space="preserve">, </w:t>
            </w:r>
            <w:r>
              <w:rPr>
                <w:rFonts w:ascii="Consolas" w:cs="Consolas" w:eastAsia="Consolas" w:hAnsi="Consolas"/>
                <w:color w:val="0B4D47"/>
                <w:sz w:val="18"/>
                <w:szCs w:val="18"/>
              </w:rPr>
              <w:t xml:space="preserve">ST</w:t>
            </w:r>
            <w:r>
              <w:t xml:space="preserve">). Seul un journal </w:t>
            </w:r>
            <w:r>
              <w:rPr>
                <w:b/>
                <w:bCs/>
              </w:rPr>
              <w:t xml:space="preserve">existant et actif</w:t>
            </w:r>
            <w:r>
              <w:t xml:space="preserve"> peut être choisi (</w:t>
            </w:r>
            <w:r>
              <w:rPr>
                <w:rFonts w:ascii="Consolas" w:cs="Consolas" w:eastAsia="Consolas" w:hAnsi="Consolas"/>
                <w:color w:val="0B4D47"/>
                <w:sz w:val="18"/>
                <w:szCs w:val="18"/>
              </w:rPr>
              <w:t xml:space="preserve">JOURNAL_INCONNU</w:t>
            </w:r>
            <w:r>
              <w:t xml:space="preserve">). Le numéro
de pièce reprend le code du journal : </w:t>
            </w:r>
            <w:r>
              <w:rPr>
                <w:rFonts w:ascii="Consolas" w:cs="Consolas" w:eastAsia="Consolas" w:hAnsi="Consolas"/>
                <w:color w:val="0B4D47"/>
                <w:sz w:val="18"/>
                <w:szCs w:val="18"/>
              </w:rPr>
              <w:t xml:space="preserve">&lt;JOURNAL&gt;-&lt;année&gt;-&lt;n° sur 6 chiffres&gt;</w:t>
            </w:r>
            <w:r>
              <w:t xml:space="preserve">, numéroté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Comptes du stock</w:t>
            </w:r>
            <w:r>
              <w:t xml:space="preserve"> (inventaire permanent), paramétrables par centre : stock (322 par défaut),
consommation (602), factures non parvenues (408), boni d'inventaire (757), mali d'inventaire (657). La </w:t>
            </w:r>
            <w:r>
              <w:rPr>
                <w:b/>
                <w:bCs/>
              </w:rPr>
              <w:t xml:space="preserve">fiche d'un
article</w:t>
            </w:r>
            <w:r>
              <w:t xml:space="preserve"> peut préciser son propre compte de stock et son propre compte de consommation (RG-STK-008) ; à défaut, ceux
du centre s'appliquent.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réception</w:t>
            </w:r>
            <w:r>
              <w:t xml:space="preserve"> : un bon de réception </w:t>
            </w:r>
            <w:r>
              <w:rPr>
                <w:b/>
                <w:bCs/>
              </w:rPr>
              <w:t xml:space="preserve">validé</w:t>
            </w:r>
            <w:r>
              <w:t xml:space="preserve"> donne une écriture, dans le journal des
réceptions, à la date de réception : débit du compte de stock (de l'article ou du centre), crédit des </w:t>
            </w:r>
            <w:r>
              <w:rPr>
                <w:b/>
                <w:bCs/>
              </w:rPr>
              <w:t xml:space="preserve">factures non
parvenues</w:t>
            </w:r>
            <w:r>
              <w:t xml:space="preserve">, pour la valeur </w:t>
            </w:r>
            <w:r>
              <w:rPr>
                <w:b/>
                <w:bCs/>
              </w:rPr>
              <w:t xml:space="preserve">hors taxe</w:t>
            </w:r>
            <w:r>
              <w:t xml:space="preserve"> quantité × prix unitaire. La TVA d'achat et le compte fournisseur se
traitent à la facture, </w:t>
            </w:r>
            <w:r>
              <w:rPr>
                <w:b/>
                <w:bCs/>
              </w:rPr>
              <w:t xml:space="preserve">hors application</w:t>
            </w:r>
            <w:r>
              <w:t xml:space="preserve">. Une écriture par bon, jamais doublée.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des sorties</w:t>
            </w:r>
            <w:r>
              <w:t xml:space="preserve"> : les sorties de stock d'une journée (consommations de séance, sorties
manuelles) sont </w:t>
            </w:r>
            <w:r>
              <w:rPr>
                <w:b/>
                <w:bCs/>
              </w:rPr>
              <w:t xml:space="preserve">centralisées en une écriture par centre et par jour</w:t>
            </w:r>
            <w:r>
              <w:t xml:space="preserve">, dans le journal des sorties : débit du
compte de consommation, crédit du compte de stock, valorisés au </w:t>
            </w:r>
            <w:r>
              <w:rPr>
                <w:b/>
                <w:bCs/>
              </w:rPr>
              <w:t xml:space="preserve">prix moyen pondéré appliqué à la sortie</w:t>
            </w:r>
            <w:r>
              <w:t xml:space="preserve"> (à
défaut le PMP après mouvement, puis le PMP courant de l'article). Une ligne par compte.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des écarts d'inventaire</w:t>
            </w:r>
            <w:r>
              <w:t xml:space="preserve"> : un inventaire </w:t>
            </w:r>
            <w:r>
              <w:rPr>
                <w:b/>
                <w:bCs/>
              </w:rPr>
              <w:t xml:space="preserve">clôturé</w:t>
            </w:r>
            <w:r>
              <w:t xml:space="preserve"> donne une écriture, dans le journal
des inventaires, à la date de l'inventaire : excédent (compté &gt; théorique) = débit stock, crédit boni ; manquant =
débit mali, crédit stock ; écarts valorisés au PMP de la ligne d'inventaire. Une ligne non comptée ne produit rien.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Comptabilisation du stock rejouable</w:t>
            </w:r>
            <w:r>
              <w:t xml:space="preserve"> : elle a lieu </w:t>
            </w:r>
            <w:r>
              <w:rPr>
                <w:b/>
                <w:bCs/>
              </w:rPr>
              <w:t xml:space="preserve">chaque nuit</w:t>
            </w:r>
            <w:r>
              <w:t xml:space="preserve"> sur les 35 derniers jours
(</w:t>
            </w:r>
            <w:r>
              <w:rPr>
                <w:rFonts w:ascii="Consolas" w:cs="Consolas" w:eastAsia="Consolas" w:hAnsi="Consolas"/>
                <w:color w:val="0B4D47"/>
                <w:sz w:val="18"/>
                <w:szCs w:val="18"/>
              </w:rPr>
              <w:t xml:space="preserve">ComptabiliteStockScheduler</w:t>
            </w:r>
            <w:r>
              <w:t xml:space="preserve">) et </w:t>
            </w:r>
            <w:r>
              <w:rPr>
                <w:b/>
                <w:bCs/>
              </w:rPr>
              <w:t xml:space="preserve">à la demande</w:t>
            </w:r>
            <w:r>
              <w:t xml:space="preserve"> de l'administrateur sur une période d'un an au plus. Seule la
</w:t>
            </w:r>
            <w:r>
              <w:rPr>
                <w:b/>
                <w:bCs/>
              </w:rPr>
              <w:t xml:space="preserve">différence</w:t>
            </w:r>
            <w:r>
              <w:t xml:space="preserve"> entre ce qui devrait être comptabilisé et ce qui l'est déjà est écrite : la rejouer ne crée aucun
doublon. Quand les sorties d'un jour changent après coup (mouvement saisi en retard, PMP recalculé), l'écriture du
jour est </w:t>
            </w:r>
            <w:r>
              <w:rPr>
                <w:b/>
                <w:bCs/>
              </w:rPr>
              <w:t xml:space="preserve">mise à jour</w:t>
            </w:r>
            <w:r>
              <w:t xml:space="preserve"> tant qu'elle n'est ni exportée ni dans une période clôturée (son numéro de pièce est
conservé) ; sinon la différence fait l'objet d'une </w:t>
            </w:r>
            <w:r>
              <w:rPr>
                <w:b/>
                <w:bCs/>
              </w:rPr>
              <w:t xml:space="preserve">écriture de complément</w:t>
            </w:r>
            <w:r>
              <w:t xml:space="preserve"> — datée du jour même, ou du jour du
traitement si la période d'origine est clôturée (au plus 50 compléments par journée). Une réception ou un inventaire
dont la période est </w:t>
            </w:r>
            <w:r>
              <w:rPr>
                <w:b/>
                <w:bCs/>
              </w:rPr>
              <w:t xml:space="preserve">clôturée</w:t>
            </w:r>
            <w:r>
              <w:t xml:space="preserve"> n'est pas comptabilisé : il est compté comme « ignoré » et signalé à l'écran. Le
stock d'un centre n'est jamais comptabilisé dans un autre. </w:t>
            </w:r>
            <w:r>
              <w:rPr>
                <w:i/>
                <w:iCs/>
              </w:rPr>
              <w:t xml:space="preserve">Source :</w:t>
            </w:r>
            <w:r>
              <w:t xml:space="preserve"> </w:t>
            </w:r>
            <w:r>
              <w:rPr>
                <w:rFonts w:ascii="Consolas" w:cs="Consolas" w:eastAsia="Consolas" w:hAnsi="Consolas"/>
                <w:color w:val="0B4D47"/>
                <w:sz w:val="18"/>
                <w:szCs w:val="18"/>
              </w:rPr>
              <w:t xml:space="preserve">ComptabiliteStockService</w:t>
            </w:r>
            <w:r>
              <w:t xml:space="preserve">,
</w:t>
            </w:r>
            <w:r>
              <w:rPr>
                <w:rFonts w:ascii="Consolas" w:cs="Consolas" w:eastAsia="Consolas" w:hAnsi="Consolas"/>
                <w:color w:val="0B4D47"/>
                <w:sz w:val="18"/>
                <w:szCs w:val="18"/>
              </w:rPr>
              <w:t xml:space="preserve">GenerateurEcritureStock</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/stock/synchroniser</w:t>
            </w:r>
            <w:r>
              <w:t xml:space="preserve">) → </w:t>
            </w:r>
            <w:r>
              <w:rPr>
                <w:rFonts w:ascii="Consolas" w:cs="Consolas" w:eastAsia="Consolas" w:hAnsi="Consolas"/>
                <w:color w:val="0B4D47"/>
                <w:sz w:val="18"/>
                <w:szCs w:val="18"/>
              </w:rPr>
              <w:t xml:space="preserve">ComptabiliteStockUseCase</w:t>
            </w:r>
            <w:r>
              <w:t xml:space="preserve"> →
</w:t>
            </w:r>
            <w:r>
              <w:rPr>
                <w:rFonts w:ascii="Consolas" w:cs="Consolas" w:eastAsia="Consolas" w:hAnsi="Consolas"/>
                <w:color w:val="0B4D47"/>
                <w:sz w:val="18"/>
                <w:szCs w:val="18"/>
              </w:rPr>
              <w:t xml:space="preserve">OperationsStockPort</w:t>
            </w:r>
            <w:r>
              <w:t xml:space="preserve"> (</w:t>
            </w:r>
            <w:r>
              <w:rPr>
                <w:rFonts w:ascii="Consolas" w:cs="Consolas" w:eastAsia="Consolas" w:hAnsi="Consolas"/>
                <w:color w:val="0B4D47"/>
                <w:sz w:val="18"/>
                <w:szCs w:val="18"/>
              </w:rPr>
              <w:t xml:space="preserve">OperationsStockJdbcAdapter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 par centre de la comptabilité</w:t>
            </w:r>
            <w:r>
              <w:t xml:space="preserve"> : toute requête comptable (écritures, export, clôture,
paramétrage, journaux, comptabilisation du stock, reconstruction) est confrontée au centre de la session ; demander
un autre centre est refusé (403). </w:t>
            </w:r>
            <w:r>
              <w:rPr>
                <w:i/>
                <w:iCs/>
              </w:rPr>
              <w:t xml:space="preserve">Source :</w:t>
            </w:r>
            <w:r>
              <w:t xml:space="preserve">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RG-CPT-017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 stock n'est pas comptabilisé à chaque mouvement mais par traitement (nuit ou
demande) : une sortie du jour n'apparaît en comptabilité qu'après le traitement suivant. La TVA déductible sur achats
et la dette fournisseur (401) ne sont pas gérées : le compte des factures non parvenues se solde hors application, à
la comptabilisation de la facture du fournisseur.</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w:t>
            </w:r>
            <w:r>
              <w:t xml:space="preserve"> alerte toujours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quel que soit l'auteur de la saisie ; saisie par le
secrétariat, elle alerte aussi </w:t>
            </w:r>
            <w:r>
              <w:rPr>
                <w:rFonts w:ascii="Consolas" w:cs="Consolas" w:eastAsia="Consolas" w:hAnsi="Consolas"/>
                <w:color w:val="0B4D47"/>
                <w:sz w:val="18"/>
                <w:szCs w:val="18"/>
              </w:rPr>
              <w:t xml:space="preserve">ADMIN</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absence d'infirmier est enregistrée (secrétariat ou administrateur)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ADMIN</w:t>
            </w:r>
            <w:r>
              <w:rPr>
                <w:sz w:val="18"/>
                <w:szCs w:val="18"/>
              </w:rPr>
              <w:t xml:space="preserve"> si saisie par le secrétariat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SupervisionBaseRestController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/api/v1/supervision/base-donnees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RG-SEC-060 à 066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 et des journaux)</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ComptabiliteStockScheduler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RG-CPT-015</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RG-CPT-017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 stock n'est pas comptabilisé à chaque mouvement mais par traitement (nuit ou
demande) : une sortie du jour n'apparaît en comptabilité qu'après le traitement suivant. La TVA déductible sur achats
et la dette fournisseur (401) ne sont pas gérées : le compte des factures non parvenues se solde hors application, à
la comptabilisation de la facture du fournisseur.</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2026-10-09T12:40:59.142Z</dcterms:created>
  <dcterms:modified xsi:type="dcterms:W3CDTF">2026-10-09T12:40:59.142Z</dcterms:modified>
</cp:coreProperties>
</file>

<file path=docProps/custom.xml><?xml version="1.0" encoding="utf-8"?>
<Properties xmlns="http://schemas.openxmlformats.org/officeDocument/2006/custom-properties" xmlns:vt="http://schemas.openxmlformats.org/officeDocument/2006/docPropsVTypes"/>
</file>