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/>
    <w:p>
      <w:pPr>
        <w:spacing w:after="40" w:before="120"/>
      </w:pPr>
      <w:r>
        <w:rPr>
          <w:rFonts w:ascii="Calibri" w:cs="Calibri" w:eastAsia="Calibri" w:hAnsi="Calibri"/>
          <w:b/>
          <w:bCs/>
          <w:color w:val="14766E"/>
          <w:sz w:val="20"/>
          <w:szCs w:val="20"/>
        </w:rPr>
        <w:t xml:space="preserve">HemoDialyse</w:t>
      </w:r>
    </w:p>
    <w:p>
      <w:pPr>
        <w:spacing w:after="200"/>
      </w:pPr>
      <w:r>
        <w:rPr>
          <w:rFonts w:ascii="Calibri" w:cs="Calibri" w:eastAsia="Calibri" w:hAnsi="Calibri"/>
          <w:b/>
          <w:bCs/>
          <w:color w:val="0D5750"/>
          <w:sz w:val="56"/>
          <w:szCs w:val="56"/>
        </w:rPr>
        <w:t xml:space="preserve">La plateforme qui </w:t>
      </w:r>
      <w:r>
        <w:rPr>
          <w:rFonts w:ascii="Calibri" w:cs="Calibri" w:eastAsia="Calibri" w:hAnsi="Calibri"/>
          <w:b/>
          <w:bCs/>
          <w:i/>
          <w:iCs/>
          <w:color w:val="0D5750"/>
          <w:sz w:val="56"/>
          <w:szCs w:val="56"/>
        </w:rPr>
        <w:t xml:space="preserve">simplifie</w:t>
      </w:r>
      <w:r>
        <w:rPr>
          <w:rFonts w:ascii="Calibri" w:cs="Calibri" w:eastAsia="Calibri" w:hAnsi="Calibri"/>
          <w:b/>
          <w:bCs/>
          <w:color w:val="0D5750"/>
          <w:sz w:val="56"/>
          <w:szCs w:val="56"/>
        </w:rPr>
        <w:t xml:space="preserve"> la vie de votre centre d'hémodialyse.</w:t>
      </w:r>
    </w:p>
    <w:p>
      <w:pPr>
        <w:spacing w:after="140"/>
      </w:pPr>
      <w:r>
        <w:rPr>
          <w:rFonts w:ascii="Calibri" w:cs="Calibri" w:eastAsia="Calibri" w:hAnsi="Calibri"/>
          <w:color w:val="5B6B75"/>
          <w:sz w:val="26"/>
          <w:szCs w:val="26"/>
        </w:rPr>
        <w:t xml:space="preserve">Patients, séances, dossier médical, stock, facturation, greffe rénale — et un </w:t>
      </w:r>
      <w:r>
        <w:rPr>
          <w:rFonts w:ascii="Calibri" w:cs="Calibri" w:eastAsia="Calibri" w:hAnsi="Calibri"/>
          <w:b/>
          <w:bCs/>
          <w:color w:val="5B6B75"/>
          <w:sz w:val="26"/>
          <w:szCs w:val="26"/>
        </w:rPr>
        <w:t xml:space="preserve">tableau de bord de direction en temps réel</w:t>
      </w:r>
      <w:r>
        <w:rPr>
          <w:rFonts w:ascii="Calibri" w:cs="Calibri" w:eastAsia="Calibri" w:hAnsi="Calibri"/>
          <w:color w:val="5B6B75"/>
          <w:sz w:val="26"/>
          <w:szCs w:val="26"/>
        </w:rPr>
        <w:t xml:space="preserve"> pour piloter tous vos centres et décider sur des chiffres fiables.</w:t>
      </w:r>
    </w:p>
    <w:p>
      <w:pPr>
        <w:spacing w:after="40" w:before="80"/>
        <w:jc w:val="center"/>
      </w:pPr>
      <w:r>
        <w:drawing>
          <wp:inline distT="0" distB="0" distL="0" distR="0">
            <wp:extent cx="4762500" cy="2857500"/>
            <wp:effectExtent t="0" r="0" b="0" l="0"/>
            <wp:docPr id="1" name="img/90-direction-dashboard.png" descr="img/90-direction-dashboard.png" title="img/90-direction-dashboard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</w:pPr>
    </w:p>
    <w:p>
      <w:pPr>
        <w:spacing w:after="40" w:before="120"/>
      </w:pPr>
      <w:r>
        <w:rPr>
          <w:rFonts w:ascii="Calibri" w:cs="Calibri" w:eastAsia="Calibri" w:hAnsi="Calibri"/>
          <w:b/>
          <w:bCs/>
          <w:color w:val="14766E"/>
          <w:sz w:val="20"/>
          <w:szCs w:val="20"/>
        </w:rPr>
        <w:t xml:space="preserve">Le constat</w:t>
      </w:r>
    </w:p>
    <w:p>
      <w:pPr>
        <w:pStyle w:val="Heading1"/>
      </w:pPr>
      <w:r>
        <w:rPr>
          <w:rFonts w:ascii="Calibri" w:cs="Calibri" w:eastAsia="Calibri" w:hAnsi="Calibri"/>
        </w:rPr>
        <w:t xml:space="preserve">Un centre de dialyse, c'est des dizaines de tâches qui ne doivent jamais échouer.</w:t>
      </w:r>
    </w:p>
    <w:p>
      <w:pPr>
        <w:spacing w:after="140"/>
      </w:pPr>
      <w:r>
        <w:rPr>
          <w:rFonts w:ascii="Calibri" w:cs="Calibri" w:eastAsia="Calibri" w:hAnsi="Calibri"/>
          <w:color w:val="5B6B75"/>
          <w:sz w:val="26"/>
          <w:szCs w:val="26"/>
        </w:rPr>
        <w:t xml:space="preserve">Dossiers papier, tableurs, stock suivi à la main, facturation en fin de mois, traitements oubliés : chaque ressaisie est une source d'erreur, chaque oubli a un coût pour le patient et pour le centre.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Du temps perdu</w:t>
      </w:r>
    </w:p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Les équipes ressaisissent les mêmes données dans plusieurs outils et documents.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Des oublis à risque</w:t>
      </w:r>
    </w:p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Doses d'EPO manquantes, PEC expirées, lots périmés : trop tard quand on s'en aperçoit.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Une direction sans visibilité</w:t>
      </w:r>
    </w:p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Comparer les centres, suivre l'encaissement et la qualité des soins demande des consolidations manuelles, toujours en retard.</w:t>
      </w:r>
    </w:p>
    <w:p>
      <w:pPr>
        <w:pageBreakBefore/>
      </w:pPr>
    </w:p>
    <w:p>
      <w:pPr>
        <w:spacing w:after="40" w:before="120"/>
      </w:pPr>
      <w:r>
        <w:rPr>
          <w:rFonts w:ascii="Calibri" w:cs="Calibri" w:eastAsia="Calibri" w:hAnsi="Calibri"/>
          <w:b/>
          <w:bCs/>
          <w:color w:val="14766E"/>
          <w:sz w:val="20"/>
          <w:szCs w:val="20"/>
        </w:rPr>
        <w:t xml:space="preserve">La solution</w:t>
      </w:r>
    </w:p>
    <w:p>
      <w:pPr>
        <w:pStyle w:val="Heading1"/>
      </w:pPr>
      <w:r>
        <w:rPr>
          <w:rFonts w:ascii="Calibri" w:cs="Calibri" w:eastAsia="Calibri" w:hAnsi="Calibri"/>
        </w:rPr>
        <w:t xml:space="preserve">Un seul outil, du premier accueil à la greffe.</w:t>
      </w:r>
    </w:p>
    <w:p>
      <w:pPr>
        <w:spacing w:after="140"/>
      </w:pPr>
      <w:r>
        <w:rPr>
          <w:rFonts w:ascii="Calibri" w:cs="Calibri" w:eastAsia="Calibri" w:hAnsi="Calibri"/>
          <w:color w:val="5B6B75"/>
          <w:sz w:val="26"/>
          <w:szCs w:val="26"/>
        </w:rPr>
        <w:t xml:space="preserve">HemoDialyse relie tous les métiers du centre autour d'un même dossier patient : ce qui est saisi une fois est réutilisé partout.</w:t>
      </w:r>
    </w:p>
    <w:p>
      <w:pPr>
        <w:keepNext/>
        <w:spacing w:after="40" w:before="120"/>
      </w:pPr>
      <w:r>
        <w:rPr>
          <w:rFonts w:ascii="Calibri" w:cs="Calibri" w:eastAsia="Calibri" w:hAnsi="Calibri"/>
          <w:b/>
          <w:bCs/>
          <w:color w:val="0D5750"/>
          <w:sz w:val="24"/>
          <w:szCs w:val="24"/>
        </w:rPr>
        <w:t xml:space="preserve">Patients</w:t>
      </w:r>
    </w:p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Admission, PEC, attestations, carte QR</w:t>
      </w:r>
    </w:p>
    <w:p>
      <w:pPr>
        <w:keepNext/>
        <w:spacing w:after="40" w:before="120"/>
      </w:pPr>
      <w:r>
        <w:rPr>
          <w:rFonts w:ascii="Calibri" w:cs="Calibri" w:eastAsia="Calibri" w:hAnsi="Calibri"/>
          <w:b/>
          <w:bCs/>
          <w:color w:val="0D5750"/>
          <w:sz w:val="24"/>
          <w:szCs w:val="24"/>
        </w:rPr>
        <w:t xml:space="preserve">Dossier médical</w:t>
      </w:r>
    </w:p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11 onglets cliniques structurés</w:t>
      </w:r>
    </w:p>
    <w:p>
      <w:pPr>
        <w:keepNext/>
        <w:spacing w:after="40" w:before="120"/>
      </w:pPr>
      <w:r>
        <w:rPr>
          <w:rFonts w:ascii="Calibri" w:cs="Calibri" w:eastAsia="Calibri" w:hAnsi="Calibri"/>
          <w:b/>
          <w:bCs/>
          <w:color w:val="0D5750"/>
          <w:sz w:val="24"/>
          <w:szCs w:val="24"/>
        </w:rPr>
        <w:t xml:space="preserve">Séances</w:t>
      </w:r>
    </w:p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Saisie infirmière, scan QR, planning</w:t>
      </w:r>
    </w:p>
    <w:p>
      <w:pPr>
        <w:keepNext/>
        <w:spacing w:after="40" w:before="120"/>
      </w:pPr>
      <w:r>
        <w:rPr>
          <w:rFonts w:ascii="Calibri" w:cs="Calibri" w:eastAsia="Calibri" w:hAnsi="Calibri"/>
          <w:b/>
          <w:bCs/>
          <w:color w:val="0D5750"/>
          <w:sz w:val="24"/>
          <w:szCs w:val="24"/>
        </w:rPr>
        <w:t xml:space="preserve">Anémie EPO / Fer</w:t>
      </w:r>
    </w:p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Cibles KDIGO et observance</w:t>
      </w:r>
    </w:p>
    <w:p>
      <w:pPr>
        <w:keepNext/>
        <w:spacing w:after="40" w:before="120"/>
      </w:pPr>
      <w:r>
        <w:rPr>
          <w:rFonts w:ascii="Calibri" w:cs="Calibri" w:eastAsia="Calibri" w:hAnsi="Calibri"/>
          <w:b/>
          <w:bCs/>
          <w:color w:val="0D5750"/>
          <w:sz w:val="24"/>
          <w:szCs w:val="24"/>
        </w:rPr>
        <w:t xml:space="preserve">Greffe rénale</w:t>
      </w:r>
    </w:p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Bilan, RCP, donneur vivant</w:t>
      </w:r>
    </w:p>
    <w:p>
      <w:pPr>
        <w:keepNext/>
        <w:spacing w:after="40" w:before="120"/>
      </w:pPr>
      <w:r>
        <w:rPr>
          <w:rFonts w:ascii="Calibri" w:cs="Calibri" w:eastAsia="Calibri" w:hAnsi="Calibri"/>
          <w:b/>
          <w:bCs/>
          <w:color w:val="0D5750"/>
          <w:sz w:val="24"/>
          <w:szCs w:val="24"/>
        </w:rPr>
        <w:t xml:space="preserve">Stock</w:t>
      </w:r>
    </w:p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Lots, FEFO, PMP, traçabilité</w:t>
      </w:r>
    </w:p>
    <w:p>
      <w:pPr>
        <w:keepNext/>
        <w:spacing w:after="40" w:before="120"/>
      </w:pPr>
      <w:r>
        <w:rPr>
          <w:rFonts w:ascii="Calibri" w:cs="Calibri" w:eastAsia="Calibri" w:hAnsi="Calibri"/>
          <w:b/>
          <w:bCs/>
          <w:color w:val="0D5750"/>
          <w:sz w:val="24"/>
          <w:szCs w:val="24"/>
        </w:rPr>
        <w:t xml:space="preserve">Facturation</w:t>
      </w:r>
    </w:p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HT / TVA / TTC, règlements</w:t>
      </w:r>
    </w:p>
    <w:p>
      <w:pPr>
        <w:keepNext/>
        <w:spacing w:after="40" w:before="120"/>
      </w:pPr>
      <w:r>
        <w:rPr>
          <w:rFonts w:ascii="Calibri" w:cs="Calibri" w:eastAsia="Calibri" w:hAnsi="Calibri"/>
          <w:b/>
          <w:bCs/>
          <w:color w:val="0D5750"/>
          <w:sz w:val="24"/>
          <w:szCs w:val="24"/>
        </w:rPr>
        <w:t xml:space="preserve">Comptabilité</w:t>
      </w:r>
    </w:p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Journal SCF automatique</w:t>
      </w:r>
    </w:p>
    <w:p>
      <w:pPr>
        <w:keepNext/>
        <w:spacing w:after="40" w:before="120"/>
      </w:pPr>
      <w:r>
        <w:rPr>
          <w:rFonts w:ascii="Calibri" w:cs="Calibri" w:eastAsia="Calibri" w:hAnsi="Calibri"/>
          <w:b/>
          <w:bCs/>
          <w:color w:val="0D5750"/>
          <w:sz w:val="24"/>
          <w:szCs w:val="24"/>
        </w:rPr>
        <w:t xml:space="preserve">Pilotage direction</w:t>
      </w:r>
    </w:p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Tableau de bord temps réel, multi-centres</w:t>
      </w:r>
    </w:p>
    <w:p>
      <w:pPr>
        <w:pageBreakBefore/>
      </w:pPr>
    </w:p>
    <w:p>
      <w:pPr>
        <w:spacing w:after="40" w:before="120"/>
      </w:pPr>
      <w:r>
        <w:rPr>
          <w:rFonts w:ascii="Calibri" w:cs="Calibri" w:eastAsia="Calibri" w:hAnsi="Calibri"/>
          <w:b/>
          <w:bCs/>
          <w:color w:val="14766E"/>
          <w:sz w:val="20"/>
          <w:szCs w:val="20"/>
        </w:rPr>
        <w:t xml:space="preserve">Pilotage de la direction</w:t>
      </w:r>
    </w:p>
    <w:p>
      <w:pPr>
        <w:pStyle w:val="Heading1"/>
      </w:pPr>
      <w:r>
        <w:rPr>
          <w:rFonts w:ascii="Calibri" w:cs="Calibri" w:eastAsia="Calibri" w:hAnsi="Calibri"/>
        </w:rPr>
        <w:t xml:space="preserve">Toute votre activité sur un seul écran, à jour à la seconde.</w:t>
      </w:r>
    </w:p>
    <w:p>
      <w:pPr>
        <w:spacing w:after="140"/>
      </w:pPr>
      <w:r>
        <w:rPr>
          <w:rFonts w:ascii="Calibri" w:cs="Calibri" w:eastAsia="Calibri" w:hAnsi="Calibri"/>
          <w:color w:val="5B6B75"/>
          <w:sz w:val="26"/>
          <w:szCs w:val="26"/>
        </w:rPr>
        <w:t xml:space="preserve">Activité, chiffre d'affaires, encaissement, qualité des soins et stock de </w:t>
      </w:r>
      <w:r>
        <w:rPr>
          <w:rFonts w:ascii="Calibri" w:cs="Calibri" w:eastAsia="Calibri" w:hAnsi="Calibri"/>
          <w:b/>
          <w:bCs/>
          <w:color w:val="5B6B75"/>
          <w:sz w:val="26"/>
          <w:szCs w:val="26"/>
        </w:rPr>
        <w:t xml:space="preserve">tous vos centres</w:t>
      </w:r>
      <w:r>
        <w:rPr>
          <w:rFonts w:ascii="Calibri" w:cs="Calibri" w:eastAsia="Calibri" w:hAnsi="Calibri"/>
          <w:color w:val="5B6B75"/>
          <w:sz w:val="26"/>
          <w:szCs w:val="26"/>
        </w:rPr>
        <w:t xml:space="preserve">, comparés côte à côte. Vous voyez où agir avant que le problème ne se voie dans les résultats.</w:t>
      </w:r>
    </w:p>
    <w:tbl>
      <w:tblPr>
        <w:tblW w:type="dxa" w:w="148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7400"/>
        <w:gridCol w:w="7400"/>
      </w:tblGrid>
      <w:tr>
        <w:tc>
          <w:tcPr>
            <w:tcW w:type="dxa" w:w="7400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left w:type="dxa" w:w="60"/>
              <w:bottom w:type="dxa" w:w="60"/>
              <w:right w:type="dxa" w:w="60"/>
            </w:tcMar>
          </w:tcPr>
          <w:p>
            <w:pPr>
              <w:spacing w:after="40" w:before="80"/>
              <w:jc w:val="center"/>
            </w:pPr>
            <w:r>
              <w:drawing>
                <wp:inline distT="0" distB="0" distL="0" distR="0">
                  <wp:extent cx="3619500" cy="2171700"/>
                  <wp:effectExtent t="0" r="0" b="0" l="0"/>
                  <wp:docPr id="1" name="img/90-direction-dashboard.png" descr="img/90-direction-dashboard.png" title="img/90-direction-dashboard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19500" cy="21717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400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left w:type="dxa" w:w="60"/>
              <w:bottom w:type="dxa" w:w="60"/>
              <w:right w:type="dxa" w:w="60"/>
            </w:tcMar>
          </w:tcPr>
          <w:p>
            <w:r>
              <w:t xml:space="preserve"/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Indicateurs clés</w:t>
      </w:r>
      <w:r>
        <w:rPr>
          <w:rFonts w:ascii="Calibri" w:cs="Calibri" w:eastAsia="Calibri" w:hAnsi="Calibri"/>
          <w:sz w:val="22"/>
          <w:szCs w:val="22"/>
        </w:rPr>
        <w:t xml:space="preserve"> : patients, séances, CA HT / TTC, encaissé, reste à recouvrer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Comparaison des centres</w:t>
      </w:r>
      <w:r>
        <w:rPr>
          <w:rFonts w:ascii="Calibri" w:cs="Calibri" w:eastAsia="Calibri" w:hAnsi="Calibri"/>
          <w:sz w:val="22"/>
          <w:szCs w:val="22"/>
        </w:rPr>
        <w:t xml:space="preserve"> et part de chacun dans le chiffre d'affaires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Alertes classées par gravité</w:t>
      </w:r>
      <w:r>
        <w:rPr>
          <w:rFonts w:ascii="Calibri" w:cs="Calibri" w:eastAsia="Calibri" w:hAnsi="Calibri"/>
          <w:sz w:val="22"/>
          <w:szCs w:val="22"/>
        </w:rPr>
        <w:t xml:space="preserve"> : lots périmés, stock bas, traitements en retard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Tendance mensuelle</w:t>
      </w:r>
      <w:r>
        <w:rPr>
          <w:rFonts w:ascii="Calibri" w:cs="Calibri" w:eastAsia="Calibri" w:hAnsi="Calibri"/>
          <w:sz w:val="22"/>
          <w:szCs w:val="22"/>
        </w:rPr>
        <w:t xml:space="preserve"> pour anticiper plutôt que constater</w:t>
      </w:r>
    </w:p>
    <w:p>
      <w:pPr>
        <w:pageBreakBefore/>
      </w:pPr>
    </w:p>
    <w:p>
      <w:pPr>
        <w:spacing w:after="40" w:before="120"/>
      </w:pPr>
      <w:r>
        <w:rPr>
          <w:rFonts w:ascii="Calibri" w:cs="Calibri" w:eastAsia="Calibri" w:hAnsi="Calibri"/>
          <w:b/>
          <w:bCs/>
          <w:color w:val="14766E"/>
          <w:sz w:val="20"/>
          <w:szCs w:val="20"/>
        </w:rPr>
        <w:t xml:space="preserve">Aide à la décision</w:t>
      </w:r>
    </w:p>
    <w:p>
      <w:pPr>
        <w:pStyle w:val="Heading1"/>
      </w:pPr>
      <w:r>
        <w:rPr>
          <w:rFonts w:ascii="Calibri" w:cs="Calibri" w:eastAsia="Calibri" w:hAnsi="Calibri"/>
        </w:rPr>
        <w:t xml:space="preserve">Qualité des soins, stock, patients : chaque écart est visible.</w:t>
      </w:r>
    </w:p>
    <w:tbl>
      <w:tblPr>
        <w:tblW w:type="dxa" w:w="148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7400"/>
        <w:gridCol w:w="7400"/>
      </w:tblGrid>
      <w:tr>
        <w:tc>
          <w:tcPr>
            <w:tcW w:type="dxa" w:w="7400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left w:type="dxa" w:w="60"/>
              <w:bottom w:type="dxa" w:w="60"/>
              <w:right w:type="dxa" w:w="60"/>
            </w:tcMar>
          </w:tcPr>
          <w:p>
            <w:pPr>
              <w:spacing w:after="40" w:before="80"/>
              <w:jc w:val="center"/>
            </w:pPr>
            <w:r>
              <w:drawing>
                <wp:inline distT="0" distB="0" distL="0" distR="0">
                  <wp:extent cx="3619500" cy="847725"/>
                  <wp:effectExtent t="0" r="0" b="0" l="0"/>
                  <wp:docPr id="1" name="img/91-direction-qualite-stock.png" descr="img/91-direction-qualite-stock.png" title="img/91-direction-qualite-stock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19500" cy="8477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400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left w:type="dxa" w:w="60"/>
              <w:bottom w:type="dxa" w:w="60"/>
              <w:right w:type="dxa" w:w="60"/>
            </w:tcMar>
          </w:tcPr>
          <w:p>
            <w:pPr>
              <w:spacing w:after="40" w:before="80"/>
              <w:jc w:val="center"/>
            </w:pPr>
            <w:r>
              <w:drawing>
                <wp:inline distT="0" distB="0" distL="0" distR="0">
                  <wp:extent cx="3619500" cy="1428750"/>
                  <wp:effectExtent t="0" r="0" b="0" l="0"/>
                  <wp:docPr id="1" name="img/92-direction-repartitions.png" descr="img/92-direction-repartitions.png" title="img/92-direction-repartitions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19500" cy="14287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120"/>
      </w:pPr>
    </w:p>
    <w:p>
      <w:pPr>
        <w:pStyle w:val="Heading2"/>
      </w:pPr>
      <w:r>
        <w:rPr>
          <w:rFonts w:ascii="Calibri" w:cs="Calibri" w:eastAsia="Calibri" w:hAnsi="Calibri"/>
        </w:rPr>
        <w:t xml:space="preserve">Qualité KDIGO par centre</w:t>
      </w:r>
    </w:p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Part des patients dans la cible (Kt/V, Hb, phosphore, PTH, albumine) en couleurs : repérez le centre qui décroche.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Qui, et comment c'est financé</w:t>
      </w:r>
    </w:p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Patients par sexe et âge, séances et CA HT par caisse d'assurance, traitement de l'anémie par centre.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Confidentialité garantie</w:t>
      </w:r>
    </w:p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Données agrégées et anonymes : aucun dossier patient n'est accessible, les petits effectifs sont masqués.</w:t>
      </w:r>
    </w:p>
    <w:p>
      <w:pPr>
        <w:pageBreakBefore/>
      </w:pPr>
    </w:p>
    <w:p>
      <w:pPr>
        <w:spacing w:after="40" w:before="80"/>
        <w:jc w:val="center"/>
      </w:pPr>
      <w:r>
        <w:drawing>
          <wp:inline distT="0" distB="0" distL="0" distR="0">
            <wp:extent cx="4953000" cy="2162175"/>
            <wp:effectExtent t="0" r="0" b="0" l="0"/>
            <wp:docPr id="1" name="img/93-direction-rapport.png" descr="img/93-direction-rapport.png" title="img/93-direction-rapport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2162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40" w:before="120"/>
      </w:pPr>
      <w:r>
        <w:rPr>
          <w:rFonts w:ascii="Calibri" w:cs="Calibri" w:eastAsia="Calibri" w:hAnsi="Calibri"/>
          <w:b/>
          <w:bCs/>
          <w:color w:val="14766E"/>
          <w:sz w:val="20"/>
          <w:szCs w:val="20"/>
        </w:rPr>
        <w:t xml:space="preserve">Temps réel &amp; rapports</w:t>
      </w:r>
    </w:p>
    <w:p>
      <w:pPr>
        <w:pStyle w:val="Heading1"/>
      </w:pPr>
      <w:r>
        <w:rPr>
          <w:rFonts w:ascii="Calibri" w:cs="Calibri" w:eastAsia="Calibri" w:hAnsi="Calibri"/>
        </w:rPr>
        <w:t xml:space="preserve">Notifié à l'instant, prêt pour le conseil d'administration.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Temps réel</w:t>
      </w:r>
      <w:r>
        <w:rPr>
          <w:rFonts w:ascii="Calibri" w:cs="Calibri" w:eastAsia="Calibri" w:hAnsi="Calibri"/>
          <w:sz w:val="22"/>
          <w:szCs w:val="22"/>
        </w:rPr>
        <w:t xml:space="preserve"> : chaque changement met à jour le tableau de bord et déclenche une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notification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Rapport PDF en un clic</w:t>
      </w:r>
      <w:r>
        <w:rPr>
          <w:rFonts w:ascii="Calibri" w:cs="Calibri" w:eastAsia="Calibri" w:hAnsi="Calibri"/>
          <w:sz w:val="22"/>
          <w:szCs w:val="22"/>
        </w:rPr>
        <w:t xml:space="preserve">, à l'en-tête et au pied de page de votre société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2"/>
          <w:szCs w:val="22"/>
        </w:rPr>
        <w:t xml:space="preserve">Toutes les statistiques : finances, qualité, stock, répartitions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Rapports mensuels figés</w:t>
      </w:r>
      <w:r>
        <w:rPr>
          <w:rFonts w:ascii="Calibri" w:cs="Calibri" w:eastAsia="Calibri" w:hAnsi="Calibri"/>
          <w:sz w:val="22"/>
          <w:szCs w:val="22"/>
        </w:rPr>
        <w:t xml:space="preserve"> : des chiffres d'archive qui ne bougent plus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2"/>
          <w:szCs w:val="22"/>
        </w:rPr>
        <w:t xml:space="preserve">Accès sécurisé,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double authentification (2FA)</w:t>
      </w:r>
      <w:r>
        <w:rPr>
          <w:rFonts w:ascii="Calibri" w:cs="Calibri" w:eastAsia="Calibri" w:hAnsi="Calibri"/>
          <w:sz w:val="22"/>
          <w:szCs w:val="22"/>
        </w:rPr>
        <w:t xml:space="preserve"> disponible</w:t>
      </w:r>
    </w:p>
    <w:p>
      <w:pPr>
        <w:pageBreakBefore/>
      </w:pPr>
    </w:p>
    <w:p>
      <w:pPr>
        <w:spacing w:after="40" w:before="120"/>
      </w:pPr>
      <w:r>
        <w:rPr>
          <w:rFonts w:ascii="Calibri" w:cs="Calibri" w:eastAsia="Calibri" w:hAnsi="Calibri"/>
          <w:b/>
          <w:bCs/>
          <w:color w:val="14766E"/>
          <w:sz w:val="20"/>
          <w:szCs w:val="20"/>
        </w:rPr>
        <w:t xml:space="preserve">Séances</w:t>
      </w:r>
    </w:p>
    <w:p>
      <w:pPr>
        <w:pStyle w:val="Heading1"/>
      </w:pPr>
      <w:r>
        <w:rPr>
          <w:rFonts w:ascii="Calibri" w:cs="Calibri" w:eastAsia="Calibri" w:hAnsi="Calibri"/>
        </w:rPr>
        <w:t xml:space="preserve">Des séances saisies en quelques gestes.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2"/>
          <w:szCs w:val="22"/>
        </w:rPr>
        <w:t xml:space="preserve">Identification du patient par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scan de sa carte QR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2"/>
          <w:szCs w:val="22"/>
        </w:rPr>
        <w:t xml:space="preserve">Saisie paramédicale guidée : tension, poids, durée, ultrafiltration…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2"/>
          <w:szCs w:val="22"/>
        </w:rPr>
        <w:t xml:space="preserve">Consommables décomptés automatiquement du stock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2"/>
          <w:szCs w:val="22"/>
        </w:rPr>
        <w:t xml:space="preserve">Tableau de bord d'activité et exports PDF / Excel</w:t>
      </w:r>
    </w:p>
    <w:p>
      <w:pPr>
        <w:spacing w:after="40" w:before="80"/>
        <w:jc w:val="center"/>
      </w:pPr>
      <w:r>
        <w:drawing>
          <wp:inline distT="0" distB="0" distL="0" distR="0">
            <wp:extent cx="1457325" cy="2857500"/>
            <wp:effectExtent t="0" r="0" b="0" l="0"/>
            <wp:docPr id="1" name="img/41-seance-detail.png" descr="img/41-seance-detail.png" title="img/41-seance-detail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57325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</w:pPr>
    </w:p>
    <w:p>
      <w:pPr>
        <w:spacing w:after="40" w:before="80"/>
        <w:jc w:val="center"/>
      </w:pPr>
      <w:r>
        <w:drawing>
          <wp:inline distT="0" distB="0" distL="0" distR="0">
            <wp:extent cx="4114800" cy="2857500"/>
            <wp:effectExtent t="0" r="0" b="0" l="0"/>
            <wp:docPr id="1" name="img/27-dm-anemie.png" descr="img/27-dm-anemie.png" title="img/27-dm-anemi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1480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40" w:before="120"/>
      </w:pPr>
      <w:r>
        <w:rPr>
          <w:rFonts w:ascii="Calibri" w:cs="Calibri" w:eastAsia="Calibri" w:hAnsi="Calibri"/>
          <w:b/>
          <w:bCs/>
          <w:color w:val="14766E"/>
          <w:sz w:val="20"/>
          <w:szCs w:val="20"/>
        </w:rPr>
        <w:t xml:space="preserve">Point fort</w:t>
      </w:r>
    </w:p>
    <w:p>
      <w:pPr>
        <w:pStyle w:val="Heading1"/>
      </w:pPr>
      <w:r>
        <w:rPr>
          <w:rFonts w:ascii="Calibri" w:cs="Calibri" w:eastAsia="Calibri" w:hAnsi="Calibri"/>
        </w:rPr>
        <w:t xml:space="preserve">Le traitement de l'anémie, sans faille.</w:t>
      </w:r>
    </w:p>
    <w:p>
      <w:pPr>
        <w:spacing w:after="140"/>
      </w:pPr>
      <w:r>
        <w:rPr>
          <w:rFonts w:ascii="Calibri" w:cs="Calibri" w:eastAsia="Calibri" w:hAnsi="Calibri"/>
          <w:color w:val="5B6B75"/>
          <w:sz w:val="26"/>
          <w:szCs w:val="26"/>
        </w:rPr>
        <w:t xml:space="preserve">Ce que le médecin prescrit est ce que l'infirmier administre, et le système le vérifie pour vous.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2"/>
          <w:szCs w:val="22"/>
        </w:rPr>
        <w:t xml:space="preserve">Prescription EPO / Fer structurée (article, dose, fréquence)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Reste à administrer</w:t>
      </w:r>
      <w:r>
        <w:rPr>
          <w:rFonts w:ascii="Calibri" w:cs="Calibri" w:eastAsia="Calibri" w:hAnsi="Calibri"/>
          <w:sz w:val="22"/>
          <w:szCs w:val="22"/>
        </w:rPr>
        <w:t xml:space="preserve"> visible en séance par l'infirmier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2"/>
          <w:szCs w:val="22"/>
        </w:rPr>
        <w:t xml:space="preserve">Alertes au médecin :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rappel avant échéance</w:t>
      </w:r>
      <w:r>
        <w:rPr>
          <w:rFonts w:ascii="Calibri" w:cs="Calibri" w:eastAsia="Calibri" w:hAnsi="Calibri"/>
          <w:sz w:val="22"/>
          <w:szCs w:val="22"/>
        </w:rPr>
        <w:t xml:space="preserve"> et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retard constaté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2"/>
          <w:szCs w:val="22"/>
        </w:rPr>
        <w:t xml:space="preserve">Cibles cliniques KDIGO et courbes Hb / ferritine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2"/>
          <w:szCs w:val="22"/>
        </w:rPr>
        <w:t xml:space="preserve">Sortie de stock automatique au bon lot (FEFO)</w:t>
      </w:r>
    </w:p>
    <w:p>
      <w:pPr>
        <w:pageBreakBefore/>
      </w:pPr>
    </w:p>
    <w:p>
      <w:pPr>
        <w:spacing w:after="40" w:before="120"/>
      </w:pPr>
      <w:r>
        <w:rPr>
          <w:rFonts w:ascii="Calibri" w:cs="Calibri" w:eastAsia="Calibri" w:hAnsi="Calibri"/>
          <w:b/>
          <w:bCs/>
          <w:color w:val="14766E"/>
          <w:sz w:val="20"/>
          <w:szCs w:val="20"/>
        </w:rPr>
        <w:t xml:space="preserve">Nouveau</w:t>
      </w:r>
    </w:p>
    <w:p>
      <w:pPr>
        <w:pStyle w:val="Heading1"/>
      </w:pPr>
      <w:r>
        <w:rPr>
          <w:rFonts w:ascii="Calibri" w:cs="Calibri" w:eastAsia="Calibri" w:hAnsi="Calibri"/>
        </w:rPr>
        <w:t xml:space="preserve">Préparer la greffe rénale, dès la dialyse.</w:t>
      </w:r>
    </w:p>
    <w:p>
      <w:pPr>
        <w:spacing w:after="140"/>
      </w:pPr>
      <w:r>
        <w:rPr>
          <w:rFonts w:ascii="Calibri" w:cs="Calibri" w:eastAsia="Calibri" w:hAnsi="Calibri"/>
          <w:color w:val="5B6B75"/>
          <w:sz w:val="26"/>
          <w:szCs w:val="26"/>
        </w:rPr>
        <w:t xml:space="preserve">La greffe est le meilleur avenir pour beaucoup de patients dialysés. Vos données servent enfin à la préparer.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2"/>
          <w:szCs w:val="22"/>
        </w:rPr>
        <w:t xml:space="preserve">Parcours d'éligibilité contrôlé jusqu'à l'inscription sur liste d'attente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2"/>
          <w:szCs w:val="22"/>
        </w:rPr>
        <w:t xml:space="preserve">Checklist standard du bilan pré-greffe, adaptable patient par patient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Évaluation KDIGO automatique</w:t>
      </w:r>
      <w:r>
        <w:rPr>
          <w:rFonts w:ascii="Calibri" w:cs="Calibri" w:eastAsia="Calibri" w:hAnsi="Calibri"/>
          <w:sz w:val="22"/>
          <w:szCs w:val="22"/>
        </w:rPr>
        <w:t xml:space="preserve"> : risque immunologique (PRA), DFGe, alertes sérologiques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2"/>
          <w:szCs w:val="22"/>
        </w:rPr>
        <w:t xml:space="preserve">Décisions de RCP historisées, suivi des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donneurs vivants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2"/>
          <w:szCs w:val="22"/>
        </w:rPr>
        <w:t xml:space="preserve">Dossier de synthèse exportable en PDF pour le centre de greffe</w:t>
      </w:r>
    </w:p>
    <w:p>
      <w:pPr>
        <w:spacing w:after="40" w:before="80"/>
        <w:jc w:val="center"/>
      </w:pPr>
      <w:r>
        <w:drawing>
          <wp:inline distT="0" distB="0" distL="0" distR="0">
            <wp:extent cx="4114800" cy="2857500"/>
            <wp:effectExtent t="0" r="0" b="0" l="0"/>
            <wp:docPr id="1" name="img/30-greffe-haut.png" descr="img/30-greffe-haut.png" title="img/30-greffe-haut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1480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</w:pPr>
    </w:p>
    <w:p>
      <w:pPr>
        <w:spacing w:after="40" w:before="120"/>
      </w:pPr>
      <w:r>
        <w:rPr>
          <w:rFonts w:ascii="Calibri" w:cs="Calibri" w:eastAsia="Calibri" w:hAnsi="Calibri"/>
          <w:b/>
          <w:bCs/>
          <w:color w:val="14766E"/>
          <w:sz w:val="20"/>
          <w:szCs w:val="20"/>
        </w:rPr>
        <w:t xml:space="preserve">Stock et gestion</w:t>
      </w:r>
    </w:p>
    <w:p>
      <w:pPr>
        <w:pStyle w:val="Heading1"/>
      </w:pPr>
      <w:r>
        <w:rPr>
          <w:rFonts w:ascii="Calibri" w:cs="Calibri" w:eastAsia="Calibri" w:hAnsi="Calibri"/>
        </w:rPr>
        <w:t xml:space="preserve">Du lot au patient, de la séance à la facture.</w:t>
      </w:r>
    </w:p>
    <w:tbl>
      <w:tblPr>
        <w:tblW w:type="dxa" w:w="148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7400"/>
        <w:gridCol w:w="7400"/>
      </w:tblGrid>
      <w:tr>
        <w:tc>
          <w:tcPr>
            <w:tcW w:type="dxa" w:w="7400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left w:type="dxa" w:w="60"/>
              <w:bottom w:type="dxa" w:w="60"/>
              <w:right w:type="dxa" w:w="60"/>
            </w:tcMar>
          </w:tcPr>
          <w:p>
            <w:pPr>
              <w:spacing w:after="40" w:before="80"/>
              <w:jc w:val="center"/>
            </w:pPr>
            <w:r>
              <w:drawing>
                <wp:inline distT="0" distB="0" distL="0" distR="0">
                  <wp:extent cx="3562350" cy="2476500"/>
                  <wp:effectExtent t="0" r="0" b="0" l="0"/>
                  <wp:docPr id="1" name="img/60-stock.png" descr="img/60-stock.png" title="img/60-stock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562350" cy="2476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400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left w:type="dxa" w:w="60"/>
              <w:bottom w:type="dxa" w:w="60"/>
              <w:right w:type="dxa" w:w="60"/>
            </w:tcMar>
          </w:tcPr>
          <w:p>
            <w:pPr>
              <w:spacing w:after="40" w:before="80"/>
              <w:jc w:val="center"/>
            </w:pPr>
            <w:r>
              <w:drawing>
                <wp:inline distT="0" distB="0" distL="0" distR="0">
                  <wp:extent cx="3562350" cy="2476500"/>
                  <wp:effectExtent t="0" r="0" b="0" l="0"/>
                  <wp:docPr id="1" name="img/50-facturation.png" descr="img/50-facturation.png" title="img/50-facturation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562350" cy="2476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120"/>
      </w:pPr>
    </w:p>
    <w:p>
      <w:pPr>
        <w:pStyle w:val="Heading2"/>
      </w:pPr>
      <w:r>
        <w:rPr>
          <w:rFonts w:ascii="Calibri" w:cs="Calibri" w:eastAsia="Calibri" w:hAnsi="Calibri"/>
        </w:rPr>
        <w:t xml:space="preserve">Stock maîtrisé</w:t>
      </w:r>
    </w:p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Valorisation au PMP, alertes de seuil et de péremption, sorties FEFO.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Traçabilité totale</w:t>
      </w:r>
    </w:p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Lot → patient → séance, pour toute consommation.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Facturation fiable</w:t>
      </w:r>
    </w:p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Aperçu avant validation, HT / TVA / TTC, règlements et journal comptable SCF.</w:t>
      </w:r>
    </w:p>
    <w:p>
      <w:pPr>
        <w:pageBreakBefore/>
      </w:pPr>
    </w:p>
    <w:p>
      <w:pPr>
        <w:spacing w:after="40" w:before="80"/>
        <w:jc w:val="center"/>
      </w:pPr>
      <w:r>
        <w:drawing>
          <wp:inline distT="0" distB="0" distL="0" distR="0">
            <wp:extent cx="4114800" cy="2857500"/>
            <wp:effectExtent t="0" r="0" b="0" l="0"/>
            <wp:docPr id="1" name="img/22-dm-serologies.png" descr="img/22-dm-serologies.png" title="img/22-dm-serologies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1480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40" w:before="120"/>
      </w:pPr>
      <w:r>
        <w:rPr>
          <w:rFonts w:ascii="Calibri" w:cs="Calibri" w:eastAsia="Calibri" w:hAnsi="Calibri"/>
          <w:b/>
          <w:bCs/>
          <w:color w:val="14766E"/>
          <w:sz w:val="20"/>
          <w:szCs w:val="20"/>
        </w:rPr>
        <w:t xml:space="preserve">Dossier médical</w:t>
      </w:r>
    </w:p>
    <w:p>
      <w:pPr>
        <w:pStyle w:val="Heading1"/>
      </w:pPr>
      <w:r>
        <w:rPr>
          <w:rFonts w:ascii="Calibri" w:cs="Calibri" w:eastAsia="Calibri" w:hAnsi="Calibri"/>
        </w:rPr>
        <w:t xml:space="preserve">Un dossier clinique complet, structuré, partout accessible.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2"/>
          <w:szCs w:val="22"/>
        </w:rPr>
        <w:t xml:space="preserve">Antécédents, sérologies, examens, abords vasculaires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2"/>
          <w:szCs w:val="22"/>
        </w:rPr>
        <w:t xml:space="preserve">Prescriptions, biologie, constantes, ordonnances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2"/>
          <w:szCs w:val="22"/>
        </w:rPr>
        <w:t xml:space="preserve">Droits par profil : lecture seule ou saisie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2"/>
          <w:szCs w:val="22"/>
        </w:rPr>
        <w:t xml:space="preserve">Statistiques patient et cahier de dialyse</w:t>
      </w:r>
    </w:p>
    <w:p>
      <w:pPr>
        <w:pageBreakBefore/>
      </w:pPr>
    </w:p>
    <w:p>
      <w:pPr>
        <w:spacing w:after="40" w:before="120"/>
      </w:pPr>
      <w:r>
        <w:rPr>
          <w:rFonts w:ascii="Calibri" w:cs="Calibri" w:eastAsia="Calibri" w:hAnsi="Calibri"/>
          <w:b/>
          <w:bCs/>
          <w:color w:val="14766E"/>
          <w:sz w:val="20"/>
          <w:szCs w:val="20"/>
        </w:rPr>
        <w:t xml:space="preserve">Pensé pour le terrain</w:t>
      </w:r>
    </w:p>
    <w:p>
      <w:pPr>
        <w:pStyle w:val="Heading1"/>
      </w:pPr>
      <w:r>
        <w:rPr>
          <w:rFonts w:ascii="Calibri" w:cs="Calibri" w:eastAsia="Calibri" w:hAnsi="Calibri"/>
        </w:rPr>
        <w:t xml:space="preserve">Multi-centres, multilingue, sur tous vos écrans.</w:t>
      </w:r>
    </w:p>
    <w:p>
      <w:pPr>
        <w:spacing w:after="40" w:before="80"/>
        <w:jc w:val="center"/>
      </w:pPr>
      <w:r>
        <w:drawing>
          <wp:inline distT="0" distB="0" distL="0" distR="0">
            <wp:extent cx="1323975" cy="2857500"/>
            <wp:effectExtent t="0" r="0" b="0" l="0"/>
            <wp:docPr id="1" name="img/80-mobile-dashboard.png" descr="img/80-mobile-dashboard.png" title="img/80-mobile-dashboard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23975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40" w:before="80"/>
        <w:jc w:val="center"/>
      </w:pPr>
      <w:r>
        <w:drawing>
          <wp:inline distT="0" distB="0" distL="0" distR="0">
            <wp:extent cx="1323975" cy="2857500"/>
            <wp:effectExtent t="0" r="0" b="0" l="0"/>
            <wp:docPr id="1" name="img/81-mobile-anemie.png" descr="img/81-mobile-anemie.png" title="img/81-mobile-anemi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23975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148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7400"/>
        <w:gridCol w:w="7400"/>
      </w:tblGrid>
      <w:tr>
        <w:tc>
          <w:tcPr>
            <w:tcW w:type="dxa" w:w="7400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left w:type="dxa" w:w="60"/>
              <w:bottom w:type="dxa" w:w="60"/>
              <w:right w:type="dxa" w:w="60"/>
            </w:tcMar>
          </w:tcPr>
          <w:p>
            <w:pPr>
              <w:spacing w:after="40" w:before="80"/>
              <w:jc w:val="center"/>
            </w:pPr>
            <w:r>
              <w:drawing>
                <wp:inline distT="0" distB="0" distL="0" distR="0">
                  <wp:extent cx="3619500" cy="2266950"/>
                  <wp:effectExtent t="0" r="0" b="0" l="0"/>
                  <wp:docPr id="1" name="img/82-langue-ar.png" descr="img/82-langue-ar.png" title="img/82-langue-ar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19500" cy="2266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400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left w:type="dxa" w:w="60"/>
              <w:bottom w:type="dxa" w:w="60"/>
              <w:right w:type="dxa" w:w="60"/>
            </w:tcMar>
          </w:tcPr>
          <w:p>
            <w:r>
              <w:t xml:space="preserve"/>
            </w:r>
          </w:p>
        </w:tc>
      </w:tr>
    </w:tbl>
    <w:p>
      <w:pPr>
        <w:spacing w:after="120"/>
      </w:pPr>
    </w:p>
    <w:p>
      <w:pPr>
        <w:pStyle w:val="Heading2"/>
      </w:pPr>
      <w:r>
        <w:rPr>
          <w:rFonts w:ascii="Calibri" w:cs="Calibri" w:eastAsia="Calibri" w:hAnsi="Calibri"/>
        </w:rPr>
        <w:t xml:space="preserve">Multi-centres</w:t>
      </w:r>
    </w:p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Chaque centre ses données, ses utilisateurs, son paramétrage ; une société pour les fédérer et une direction pour les piloter.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4 langues</w:t>
      </w:r>
    </w:p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Français, arabe (droite à gauche), kabyle, anglais.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Poste, tablette, mobile</w:t>
      </w:r>
    </w:p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Une interface qui s'adapte à chaque écran.</w:t>
      </w:r>
    </w:p>
    <w:p>
      <w:pPr>
        <w:pageBreakBefore/>
      </w:pPr>
    </w:p>
    <w:p>
      <w:pPr>
        <w:spacing w:after="40" w:before="120"/>
      </w:pPr>
      <w:r>
        <w:rPr>
          <w:rFonts w:ascii="Calibri" w:cs="Calibri" w:eastAsia="Calibri" w:hAnsi="Calibri"/>
          <w:b/>
          <w:bCs/>
          <w:color w:val="14766E"/>
          <w:sz w:val="20"/>
          <w:szCs w:val="20"/>
        </w:rPr>
        <w:t xml:space="preserve">Mise en route</w:t>
      </w:r>
    </w:p>
    <w:p>
      <w:pPr>
        <w:pStyle w:val="Heading1"/>
      </w:pPr>
      <w:r>
        <w:rPr>
          <w:rFonts w:ascii="Calibri" w:cs="Calibri" w:eastAsia="Calibri" w:hAnsi="Calibri"/>
        </w:rPr>
        <w:t xml:space="preserve">Opérationnel simplement, avec vous.</w:t>
      </w:r>
    </w:p>
    <w:p>
      <w:pPr>
        <w:keepNext/>
        <w:spacing w:after="40" w:before="120"/>
      </w:pPr>
      <w:r>
        <w:rPr>
          <w:rFonts w:ascii="Calibri" w:cs="Calibri" w:eastAsia="Calibri" w:hAnsi="Calibri"/>
          <w:b/>
          <w:bCs/>
          <w:color w:val="0D5750"/>
          <w:sz w:val="24"/>
          <w:szCs w:val="24"/>
        </w:rPr>
        <w:t xml:space="preserve">Cadrage</w:t>
      </w:r>
    </w:p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Analyse de vos circuits, centres, profils et documents.</w:t>
      </w:r>
    </w:p>
    <w:p>
      <w:pPr>
        <w:keepNext/>
        <w:spacing w:after="40" w:before="120"/>
      </w:pPr>
      <w:r>
        <w:rPr>
          <w:rFonts w:ascii="Calibri" w:cs="Calibri" w:eastAsia="Calibri" w:hAnsi="Calibri"/>
          <w:b/>
          <w:bCs/>
          <w:color w:val="0D5750"/>
          <w:sz w:val="24"/>
          <w:szCs w:val="24"/>
        </w:rPr>
        <w:t xml:space="preserve">Paramétrage</w:t>
      </w:r>
    </w:p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Référentiels, utilisateurs, rôles, modèles de documents, calendrier.</w:t>
      </w:r>
    </w:p>
    <w:p>
      <w:pPr>
        <w:keepNext/>
        <w:spacing w:after="40" w:before="120"/>
      </w:pPr>
      <w:r>
        <w:rPr>
          <w:rFonts w:ascii="Calibri" w:cs="Calibri" w:eastAsia="Calibri" w:hAnsi="Calibri"/>
          <w:b/>
          <w:bCs/>
          <w:color w:val="0D5750"/>
          <w:sz w:val="24"/>
          <w:szCs w:val="24"/>
        </w:rPr>
        <w:t xml:space="preserve">Formation</w:t>
      </w:r>
    </w:p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Sessions par métier : médecins, infirmiers, secrétariat, administration.</w:t>
      </w:r>
    </w:p>
    <w:p>
      <w:pPr>
        <w:keepNext/>
        <w:spacing w:after="40" w:before="120"/>
      </w:pPr>
      <w:r>
        <w:rPr>
          <w:rFonts w:ascii="Calibri" w:cs="Calibri" w:eastAsia="Calibri" w:hAnsi="Calibri"/>
          <w:b/>
          <w:bCs/>
          <w:color w:val="0D5750"/>
          <w:sz w:val="24"/>
          <w:szCs w:val="24"/>
        </w:rPr>
        <w:t xml:space="preserve">Accompagnement</w:t>
      </w:r>
    </w:p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Suivi de démarrage et évolutions selon vos retours.</w:t>
      </w:r>
    </w:p>
    <w:p>
      <w:pPr>
        <w:pageBreakBefore/>
      </w:pPr>
    </w:p>
    <w:p>
      <w:pPr>
        <w:spacing w:after="40" w:before="120"/>
      </w:pPr>
      <w:r>
        <w:rPr>
          <w:rFonts w:ascii="Calibri" w:cs="Calibri" w:eastAsia="Calibri" w:hAnsi="Calibri"/>
          <w:b/>
          <w:bCs/>
          <w:color w:val="14766E"/>
          <w:sz w:val="20"/>
          <w:szCs w:val="20"/>
        </w:rPr>
        <w:t xml:space="preserve">HemoDialyse</w:t>
      </w:r>
    </w:p>
    <w:p>
      <w:pPr>
        <w:pStyle w:val="Heading1"/>
      </w:pPr>
      <w:r>
        <w:rPr>
          <w:rFonts w:ascii="Calibri" w:cs="Calibri" w:eastAsia="Calibri" w:hAnsi="Calibri"/>
        </w:rPr>
        <w:t xml:space="preserve">Voyons ensemble ce que HemoDialyse peut faire pour votre centre.</w:t>
      </w:r>
    </w:p>
    <w:p>
      <w:pPr>
        <w:spacing w:after="140"/>
      </w:pPr>
      <w:r>
        <w:rPr>
          <w:rFonts w:ascii="Calibri" w:cs="Calibri" w:eastAsia="Calibri" w:hAnsi="Calibri"/>
          <w:color w:val="5B6B75"/>
          <w:sz w:val="26"/>
          <w:szCs w:val="26"/>
        </w:rPr>
        <w:t xml:space="preserve">Une démonstration sur vos propres cas d'usage, sans engagement.</w:t>
      </w:r>
    </w:p>
    <w:tbl>
      <w:tblPr>
        <w:tblW w:type="dxa" w:w="14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800"/>
      </w:tblGrid>
      <w:tr>
        <w:tc>
          <w:tcPr>
            <w:tcW w:type="dxa" w:w="14800"/>
            <w:tcBorders>
              <w:top w:val="none"/>
              <w:left w:val="single" w:color="14766E" w:sz="24"/>
              <w:bottom w:val="none"/>
              <w:right w:val="none"/>
            </w:tcBorders>
            <w:shd w:fill="EEF4F6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Contact commercial : Slimane BOURAHLA · 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s_bourahla@esi.dz</w:t>
            </w:r>
          </w:p>
        </w:tc>
      </w:tr>
    </w:tbl>
    <w:p>
      <w:r>
        <w:t xml:space="preserve"/>
      </w:r>
    </w:p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Les captures d'écran présentées proviennent d'un environnement de démonstration ; les noms de patients et certaines données cliniques sont fictifs. Document non contractuel.</w:t>
      </w:r>
    </w:p>
    <w:sectPr>
      <w:footerReference w:type="default" r:id="rId7"/>
      <w:pgSz w:w="16838" w:h="11906" w:orient="landscape"/>
      <w:pgMar w:top="1000" w:right="1050" w:bottom="1000" w:left="105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B6B75"/>
        <w:sz w:val="16"/>
        <w:szCs w:val="16"/>
      </w:rPr>
      <w:t xml:space="preserve">HemoDialyse – Plaquette commerciale – page </w:t>
    </w:r>
    <w:r>
      <w:rPr>
        <w:color w:val="5B6B75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0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eading1"/>
    <w:basedOn w:val="Normal"/>
    <w:next w:val="Normal"/>
    <w:qFormat/>
    <w:pPr>
      <w:keepNext/>
      <w:spacing w:after="100" w:before="240"/>
      <w:outlineLvl w:val="0"/>
    </w:pPr>
    <w:rPr>
      <w:rFonts w:ascii="Cambria" w:cs="Cambria" w:eastAsia="Cambria" w:hAnsi="Cambria"/>
      <w:b/>
      <w:bCs/>
      <w:color w:val="0D5750"/>
      <w:sz w:val="40"/>
      <w:szCs w:val="40"/>
    </w:rPr>
  </w:style>
  <w:style w:type="paragraph" w:styleId="Heading2">
    <w:name w:val="Heading eading2"/>
    <w:basedOn w:val="Normal"/>
    <w:next w:val="Normal"/>
    <w:qFormat/>
    <w:pPr>
      <w:keepNext/>
      <w:spacing w:after="100" w:before="280"/>
      <w:outlineLvl w:val="1"/>
    </w:pPr>
    <w:rPr>
      <w:rFonts w:ascii="Cambria" w:cs="Cambria" w:eastAsia="Cambria" w:hAnsi="Cambria"/>
      <w:b/>
      <w:bCs/>
      <w:color w:val="14766E"/>
      <w:sz w:val="30"/>
      <w:szCs w:val="3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fc98e34b50239311f0bde285c3344e5844c81d0a.png"/><Relationship Id="rId9" Type="http://schemas.openxmlformats.org/officeDocument/2006/relationships/image" Target="media/00d57a3bc7f1c72a985a4e4f0d61981f13ef3d18.png"/><Relationship Id="rId10" Type="http://schemas.openxmlformats.org/officeDocument/2006/relationships/image" Target="media/6e8c62630c40fff050c55dd46d36298d79b5fd7f.png"/><Relationship Id="rId11" Type="http://schemas.openxmlformats.org/officeDocument/2006/relationships/image" Target="media/fd5334630a37fbac8543b45074b96c5185266448.png"/><Relationship Id="rId12" Type="http://schemas.openxmlformats.org/officeDocument/2006/relationships/image" Target="media/aa00fb6c292c44af455fb6c03450a8ee2eefb74d.png"/><Relationship Id="rId13" Type="http://schemas.openxmlformats.org/officeDocument/2006/relationships/image" Target="media/58e5e5ef6c6c0f985594e6d9fd7ed44afa40d786.png"/><Relationship Id="rId14" Type="http://schemas.openxmlformats.org/officeDocument/2006/relationships/image" Target="media/b88b2fc7f1c709e20aa202994f14cba1603449c2.png"/><Relationship Id="rId15" Type="http://schemas.openxmlformats.org/officeDocument/2006/relationships/image" Target="media/fd5a31600d51d38d6644491d4ba3b6ac8c6eb967.png"/><Relationship Id="rId16" Type="http://schemas.openxmlformats.org/officeDocument/2006/relationships/image" Target="media/ca4eea0aa97bcabb4daf03ab2bcb6020ec966999.png"/><Relationship Id="rId17" Type="http://schemas.openxmlformats.org/officeDocument/2006/relationships/image" Target="media/69e68f2b603f0f2b21a9da44caf2a379ca008e4c.png"/><Relationship Id="rId18" Type="http://schemas.openxmlformats.org/officeDocument/2006/relationships/image" Target="media/0ade706b0a6523f118aaed3d1167e387069adb53.png"/><Relationship Id="rId19" Type="http://schemas.openxmlformats.org/officeDocument/2006/relationships/image" Target="media/a1f424a43f287babb45d304396730f981a676c6b.png"/><Relationship Id="rId20" Type="http://schemas.openxmlformats.org/officeDocument/2006/relationships/image" Target="media/25c09c108440ed0ac647211d47e8c8d27cee600a.png"/><Relationship Id="rId2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HemoDialyse – Plaquette commerciale</dc:title>
  <dc:creator>HemoDialyse</dc:creator>
  <cp:lastModifiedBy>Un-named</cp:lastModifiedBy>
  <cp:revision>1</cp:revision>
  <dcterms:created xsi:type="dcterms:W3CDTF">2026-09-27T01:42:59.959Z</dcterms:created>
  <dcterms:modified xsi:type="dcterms:W3CDTF">2026-09-27T01:42:59.959Z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