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511 règles de gestion · 16 domaines · 391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8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 huit semaines couvrent une
absence déclarée environ deux mois à l'avance),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2026-10-09T09:37:50.059Z</dcterms:created>
  <dcterms:modified xsi:type="dcterms:W3CDTF">2026-10-09T09:37:50.059Z</dcterms:modified>
</cp:coreProperties>
</file>

<file path=docProps/custom.xml><?xml version="1.0" encoding="utf-8"?>
<Properties xmlns="http://schemas.openxmlformats.org/officeDocument/2006/custom-properties" xmlns:vt="http://schemas.openxmlformats.org/officeDocument/2006/docPropsVTypes"/>
</file>