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/>
      </w:pPr>
      <w:r>
        <w:rPr>
          <w:rFonts w:ascii="Georgia" w:cs="Georgia" w:eastAsia="Georgia" w:hAnsi="Georgia"/>
          <w:b/>
          <w:bCs/>
          <w:color w:val="0B4D47"/>
          <w:sz w:val="56"/>
          <w:szCs w:val="56"/>
        </w:rPr>
        <w:t xml:space="preserve">HemoDialyse</w:t>
      </w:r>
    </w:p>
    <w:p>
      <w:pPr>
        <w:spacing w:after="100"/>
      </w:pPr>
      <w:r>
        <w:rPr>
          <w:rFonts w:ascii="Georgia" w:cs="Georgia" w:eastAsia="Georgia" w:hAnsi="Georgia"/>
          <w:b/>
          <w:bCs/>
          <w:color w:val="0B4D47"/>
          <w:sz w:val="52"/>
          <w:szCs w:val="52"/>
        </w:rPr>
        <w:t xml:space="preserve">Toute la gestion de votre centre d'hémodialyse.</w:t>
      </w:r>
    </w:p>
    <w:p>
      <w:pPr>
        <w:spacing w:after="300"/>
      </w:pPr>
      <w:r>
        <w:rPr>
          <w:rFonts w:ascii="Georgia" w:cs="Georgia" w:eastAsia="Georgia" w:hAnsi="Georgia"/>
          <w:color w:val="B87A00"/>
          <w:sz w:val="40"/>
          <w:szCs w:val="40"/>
        </w:rPr>
        <w:t xml:space="preserve">Et un système qui surveille, propose et aide à décider.</w:t>
      </w:r>
    </w:p>
    <w:p>
      <w:pPr>
        <w:spacing w:after="100"/>
      </w:pPr>
      <w:r>
        <w:rPr>
          <w:color w:val="5A6A74"/>
          <w:sz w:val="26"/>
          <w:szCs w:val="26"/>
        </w:rPr>
        <w:t xml:space="preserve">Du premier accueil du patient au tableau de bord de la direction : une seule plateforme, des règles de gestion appliquées sans exception.</w:t>
      </w:r>
    </w:p>
    <w:p>
      <w:pPr>
        <w:spacing w:after="100"/>
      </w:pPr>
      <w:r>
        <w:rPr>
          <w:color w:val="5A6A74"/>
          <w:sz w:val="20"/>
          <w:szCs w:val="20"/>
        </w:rPr>
        <w:t xml:space="preserve">Plaquette commerciale · version 1.0</w:t>
      </w:r>
    </w:p>
    <w:p>
      <w:r>
        <w:br w:type="page"/>
      </w:r>
    </w:p>
    <w:p>
      <w:pPr>
        <w:spacing w:after="100"/>
      </w:pPr>
      <w:r>
        <w:rPr>
          <w:b/>
          <w:bCs/>
          <w:color w:val="14766E"/>
          <w:sz w:val="18"/>
          <w:szCs w:val="18"/>
        </w:rPr>
        <w:t xml:space="preserve">COUVERTURE FONCTIONNELLE</w:t>
      </w:r>
    </w:p>
    <w:p>
      <w:pPr>
        <w:spacing w:after="100"/>
      </w:pPr>
      <w:r>
        <w:rPr>
          <w:rFonts w:ascii="Georgia" w:cs="Georgia" w:eastAsia="Georgia" w:hAnsi="Georgia"/>
          <w:b/>
          <w:bCs/>
          <w:color w:val="0B4D47"/>
          <w:sz w:val="40"/>
          <w:szCs w:val="40"/>
        </w:rPr>
        <w:t xml:space="preserve">Toute la gestion du centre, du premier accueil à la direction de société.</w:t>
      </w:r>
    </w:p>
    <w:p>
      <w:pPr>
        <w:spacing w:after="100"/>
      </w:pPr>
      <w:r>
        <w:rPr>
          <w:color w:val="5A6A74"/>
          <w:sz w:val="24"/>
          <w:szCs w:val="24"/>
        </w:rPr>
        <w:t xml:space="preserve">Douze domaines métier dans un seul outil, sans ressaisie : ce qui est saisi une fois nourrit la planification, la facturation, la comptabilité et le pilotage.</w:t>
      </w:r>
    </w:p>
    <w:tbl>
      <w:tblPr>
        <w:tblW w:type="dxa" w:w="1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5000"/>
        <w:gridCol w:w="5000"/>
      </w:tblGrid>
      <w:tr>
        <w:tc>
          <w:tcPr>
            <w:tcW w:type="dxa" w:w="5000"/>
            <w:tcBorders>
              <w:top w:val="single" w:color="D7E3EA" w:sz="4"/>
              <w:left w:val="single" w:color="D7E3EA" w:sz="4"/>
              <w:bottom w:val="single" w:color="D7E3EA" w:sz="4"/>
              <w:right w:val="single" w:color="D7E3EA" w:sz="4"/>
            </w:tcBorders>
            <w:shd w:fill="EEF5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0B4D47"/>
                <w:sz w:val="22"/>
                <w:szCs w:val="22"/>
              </w:rPr>
              <w:t xml:space="preserve">Patients &amp; admissions</w:t>
            </w:r>
          </w:p>
          <w:p>
            <w:r>
              <w:rPr>
                <w:color w:val="5A6A74"/>
                <w:sz w:val="18"/>
                <w:szCs w:val="18"/>
              </w:rPr>
              <w:t xml:space="preserve">Dossier administratif, assurés, attestations de droits, prises en charge</w:t>
            </w:r>
          </w:p>
        </w:tc>
        <w:tc>
          <w:tcPr>
            <w:tcW w:type="dxa" w:w="5000"/>
            <w:tcBorders>
              <w:top w:val="single" w:color="D7E3EA" w:sz="4"/>
              <w:left w:val="single" w:color="D7E3EA" w:sz="4"/>
              <w:bottom w:val="single" w:color="D7E3EA" w:sz="4"/>
              <w:right w:val="single" w:color="D7E3EA" w:sz="4"/>
            </w:tcBorders>
            <w:shd w:fill="EEF5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0B4D47"/>
                <w:sz w:val="22"/>
                <w:szCs w:val="22"/>
              </w:rPr>
              <w:t xml:space="preserve">Planification</w:t>
            </w:r>
          </w:p>
          <w:p>
            <w:r>
              <w:rPr>
                <w:color w:val="5A6A74"/>
                <w:sz w:val="18"/>
                <w:szCs w:val="18"/>
              </w:rPr>
              <w:t xml:space="preserve">Postes, salles, créneaux, isolement, capacité, propositions classées</w:t>
            </w:r>
          </w:p>
        </w:tc>
        <w:tc>
          <w:tcPr>
            <w:tcW w:type="dxa" w:w="5000"/>
            <w:tcBorders>
              <w:top w:val="single" w:color="D7E3EA" w:sz="4"/>
              <w:left w:val="single" w:color="D7E3EA" w:sz="4"/>
              <w:bottom w:val="single" w:color="D7E3EA" w:sz="4"/>
              <w:right w:val="single" w:color="D7E3EA" w:sz="4"/>
            </w:tcBorders>
            <w:shd w:fill="EEF5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0B4D47"/>
                <w:sz w:val="22"/>
                <w:szCs w:val="22"/>
              </w:rPr>
              <w:t xml:space="preserve">Séances &amp; cahier de dialyse</w:t>
            </w:r>
          </w:p>
          <w:p>
            <w:r>
              <w:rPr>
                <w:color w:val="5A6A74"/>
                <w:sz w:val="18"/>
                <w:szCs w:val="18"/>
              </w:rPr>
              <w:t xml:space="preserve">Validation infirmière, signature médicale, consommables, volets</w:t>
            </w:r>
          </w:p>
        </w:tc>
      </w:tr>
      <w:tr>
        <w:tc>
          <w:tcPr>
            <w:tcW w:type="dxa" w:w="5000"/>
            <w:tcBorders>
              <w:top w:val="single" w:color="D7E3EA" w:sz="4"/>
              <w:left w:val="single" w:color="D7E3EA" w:sz="4"/>
              <w:bottom w:val="single" w:color="D7E3EA" w:sz="4"/>
              <w:right w:val="single" w:color="D7E3EA" w:sz="4"/>
            </w:tcBorders>
            <w:shd w:fill="EEF5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0B4D47"/>
                <w:sz w:val="22"/>
                <w:szCs w:val="22"/>
              </w:rPr>
              <w:t xml:space="preserve">Absences des patients</w:t>
            </w:r>
          </w:p>
          <w:p>
            <w:r>
              <w:rPr>
                <w:color w:val="5A6A74"/>
                <w:sz w:val="18"/>
                <w:szCs w:val="18"/>
              </w:rPr>
              <w:t xml:space="preserve">Détection automatique, qualification, valorisation du manque à gagner</w:t>
            </w:r>
          </w:p>
        </w:tc>
        <w:tc>
          <w:tcPr>
            <w:tcW w:type="dxa" w:w="5000"/>
            <w:tcBorders>
              <w:top w:val="single" w:color="D7E3EA" w:sz="4"/>
              <w:left w:val="single" w:color="D7E3EA" w:sz="4"/>
              <w:bottom w:val="single" w:color="D7E3EA" w:sz="4"/>
              <w:right w:val="single" w:color="D7E3EA" w:sz="4"/>
            </w:tcBorders>
            <w:shd w:fill="EEF5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0B4D47"/>
                <w:sz w:val="22"/>
                <w:szCs w:val="22"/>
              </w:rPr>
              <w:t xml:space="preserve">Personnel soignant</w:t>
            </w:r>
          </w:p>
          <w:p>
            <w:r>
              <w:rPr>
                <w:color w:val="5A6A74"/>
                <w:sz w:val="18"/>
                <w:szCs w:val="18"/>
              </w:rPr>
              <w:t xml:space="preserve">Roulement, présence, absences, remplaçants, charge de travail</w:t>
            </w:r>
          </w:p>
        </w:tc>
        <w:tc>
          <w:tcPr>
            <w:tcW w:type="dxa" w:w="5000"/>
            <w:tcBorders>
              <w:top w:val="single" w:color="D7E3EA" w:sz="4"/>
              <w:left w:val="single" w:color="D7E3EA" w:sz="4"/>
              <w:bottom w:val="single" w:color="D7E3EA" w:sz="4"/>
              <w:right w:val="single" w:color="D7E3EA" w:sz="4"/>
            </w:tcBorders>
            <w:shd w:fill="EEF5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0B4D47"/>
                <w:sz w:val="22"/>
                <w:szCs w:val="22"/>
              </w:rPr>
              <w:t xml:space="preserve">Dossier médical</w:t>
            </w:r>
          </w:p>
          <w:p>
            <w:r>
              <w:rPr>
                <w:color w:val="5A6A74"/>
                <w:sz w:val="18"/>
                <w:szCs w:val="18"/>
              </w:rPr>
              <w:t xml:space="preserve">Antécédents, allergies, sérologies, examens, ordonnances, prescriptions</w:t>
            </w:r>
          </w:p>
        </w:tc>
      </w:tr>
      <w:tr>
        <w:tc>
          <w:tcPr>
            <w:tcW w:type="dxa" w:w="5000"/>
            <w:tcBorders>
              <w:top w:val="single" w:color="D7E3EA" w:sz="4"/>
              <w:left w:val="single" w:color="D7E3EA" w:sz="4"/>
              <w:bottom w:val="single" w:color="D7E3EA" w:sz="4"/>
              <w:right w:val="single" w:color="D7E3EA" w:sz="4"/>
            </w:tcBorders>
            <w:shd w:fill="EEF5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0B4D47"/>
                <w:sz w:val="22"/>
                <w:szCs w:val="22"/>
              </w:rPr>
              <w:t xml:space="preserve">Anémie &amp; greffe</w:t>
            </w:r>
          </w:p>
          <w:p>
            <w:r>
              <w:rPr>
                <w:color w:val="5A6A74"/>
                <w:sz w:val="18"/>
                <w:szCs w:val="18"/>
              </w:rPr>
              <w:t xml:space="preserve">Observance EPO/fer, cibles KDIGO, bilan pré-greffe, donneurs vivants</w:t>
            </w:r>
          </w:p>
        </w:tc>
        <w:tc>
          <w:tcPr>
            <w:tcW w:type="dxa" w:w="5000"/>
            <w:tcBorders>
              <w:top w:val="single" w:color="D7E3EA" w:sz="4"/>
              <w:left w:val="single" w:color="D7E3EA" w:sz="4"/>
              <w:bottom w:val="single" w:color="D7E3EA" w:sz="4"/>
              <w:right w:val="single" w:color="D7E3EA" w:sz="4"/>
            </w:tcBorders>
            <w:shd w:fill="EEF5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0B4D47"/>
                <w:sz w:val="22"/>
                <w:szCs w:val="22"/>
              </w:rPr>
              <w:t xml:space="preserve">Stock &amp; pharmacie</w:t>
            </w:r>
          </w:p>
          <w:p>
            <w:r>
              <w:rPr>
                <w:color w:val="5A6A74"/>
                <w:sz w:val="18"/>
                <w:szCs w:val="18"/>
              </w:rPr>
              <w:t xml:space="preserve">Lots, FEFO, PMP, inventaire, péremptions, groupes d'articles</w:t>
            </w:r>
          </w:p>
        </w:tc>
        <w:tc>
          <w:tcPr>
            <w:tcW w:type="dxa" w:w="5000"/>
            <w:tcBorders>
              <w:top w:val="single" w:color="D7E3EA" w:sz="4"/>
              <w:left w:val="single" w:color="D7E3EA" w:sz="4"/>
              <w:bottom w:val="single" w:color="D7E3EA" w:sz="4"/>
              <w:right w:val="single" w:color="D7E3EA" w:sz="4"/>
            </w:tcBorders>
            <w:shd w:fill="EEF5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0B4D47"/>
                <w:sz w:val="22"/>
                <w:szCs w:val="22"/>
              </w:rPr>
              <w:t xml:space="preserve">GMAO</w:t>
            </w:r>
          </w:p>
          <w:p>
            <w:r>
              <w:rPr>
                <w:color w:val="5A6A74"/>
                <w:sz w:val="18"/>
                <w:szCs w:val="18"/>
              </w:rPr>
              <w:t xml:space="preserve">Parc, interventions, coûts, indisponibilité, aide à la réforme</w:t>
            </w:r>
          </w:p>
        </w:tc>
      </w:tr>
      <w:tr>
        <w:tc>
          <w:tcPr>
            <w:tcW w:type="dxa" w:w="5000"/>
            <w:tcBorders>
              <w:top w:val="single" w:color="D7E3EA" w:sz="4"/>
              <w:left w:val="single" w:color="D7E3EA" w:sz="4"/>
              <w:bottom w:val="single" w:color="D7E3EA" w:sz="4"/>
              <w:right w:val="single" w:color="D7E3EA" w:sz="4"/>
            </w:tcBorders>
            <w:shd w:fill="EEF5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0B4D47"/>
                <w:sz w:val="22"/>
                <w:szCs w:val="22"/>
              </w:rPr>
              <w:t xml:space="preserve">Facturation &amp; règlements</w:t>
            </w:r>
          </w:p>
          <w:p>
            <w:r>
              <w:rPr>
                <w:color w:val="5A6A74"/>
                <w:sz w:val="18"/>
                <w:szCs w:val="18"/>
              </w:rPr>
              <w:t xml:space="preserve">Simulation, TVA, numérotation, soldes, trop-perçus</w:t>
            </w:r>
          </w:p>
        </w:tc>
        <w:tc>
          <w:tcPr>
            <w:tcW w:type="dxa" w:w="5000"/>
            <w:tcBorders>
              <w:top w:val="single" w:color="D7E3EA" w:sz="4"/>
              <w:left w:val="single" w:color="D7E3EA" w:sz="4"/>
              <w:bottom w:val="single" w:color="D7E3EA" w:sz="4"/>
              <w:right w:val="single" w:color="D7E3EA" w:sz="4"/>
            </w:tcBorders>
            <w:shd w:fill="EEF5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0B4D47"/>
                <w:sz w:val="22"/>
                <w:szCs w:val="22"/>
              </w:rPr>
              <w:t xml:space="preserve">Comptabilité</w:t>
            </w:r>
          </w:p>
          <w:p>
            <w:r>
              <w:rPr>
                <w:color w:val="5A6A74"/>
                <w:sz w:val="18"/>
                <w:szCs w:val="18"/>
              </w:rPr>
              <w:t xml:space="preserve">Écritures équilibrées, clôture de période, export</w:t>
            </w:r>
          </w:p>
        </w:tc>
        <w:tc>
          <w:tcPr>
            <w:tcW w:type="dxa" w:w="5000"/>
            <w:tcBorders>
              <w:top w:val="single" w:color="D7E3EA" w:sz="4"/>
              <w:left w:val="single" w:color="D7E3EA" w:sz="4"/>
              <w:bottom w:val="single" w:color="D7E3EA" w:sz="4"/>
              <w:right w:val="single" w:color="D7E3EA" w:sz="4"/>
            </w:tcBorders>
            <w:shd w:fill="EEF5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0B4D47"/>
                <w:sz w:val="22"/>
                <w:szCs w:val="22"/>
              </w:rPr>
              <w:t xml:space="preserve">Direction multi-centres</w:t>
            </w:r>
          </w:p>
          <w:p>
            <w:r>
              <w:rPr>
                <w:color w:val="5A6A74"/>
                <w:sz w:val="18"/>
                <w:szCs w:val="18"/>
              </w:rPr>
              <w:t xml:space="preserve">Tableaux de bord anonymes, alertes, capacité, rapports mensuels</w:t>
            </w:r>
          </w:p>
        </w:tc>
      </w:tr>
    </w:tbl>
    <w:p>
      <w:r>
        <w:br w:type="page"/>
      </w:r>
    </w:p>
    <w:p>
      <w:pPr>
        <w:spacing w:after="100"/>
      </w:pPr>
      <w:r>
        <w:rPr>
          <w:b/>
          <w:bCs/>
          <w:color w:val="14766E"/>
          <w:sz w:val="18"/>
          <w:szCs w:val="18"/>
        </w:rPr>
        <w:t xml:space="preserve">AU-DELÀ DE L'INFORMATION</w:t>
      </w:r>
    </w:p>
    <w:p>
      <w:pPr>
        <w:spacing w:after="100"/>
      </w:pPr>
      <w:r>
        <w:rPr>
          <w:rFonts w:ascii="Georgia" w:cs="Georgia" w:eastAsia="Georgia" w:hAnsi="Georgia"/>
          <w:b/>
          <w:bCs/>
          <w:color w:val="0B4D47"/>
          <w:sz w:val="40"/>
          <w:szCs w:val="40"/>
        </w:rPr>
        <w:t xml:space="preserve">Un système qui surveille, propose et vous aide à décider.</w:t>
      </w:r>
    </w:p>
    <w:p>
      <w:pPr>
        <w:spacing w:after="40"/>
      </w:pPr>
      <w:r>
        <w:rPr>
          <w:rFonts w:ascii="Georgia" w:cs="Georgia" w:eastAsia="Georgia" w:hAnsi="Georgia"/>
          <w:b/>
          <w:bCs/>
          <w:color w:val="14766E"/>
          <w:sz w:val="30"/>
          <w:szCs w:val="30"/>
        </w:rPr>
        <w:t xml:space="preserve">Il surveille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1"/>
          <w:szCs w:val="21"/>
        </w:rPr>
        <w:t xml:space="preserve">Séances prévues non réalisées détectées chaque nuit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1"/>
          <w:szCs w:val="21"/>
        </w:rPr>
        <w:t xml:space="preserve">Observance des traitements EPO / fer contrôlée chaque jour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1"/>
          <w:szCs w:val="21"/>
        </w:rPr>
        <w:t xml:space="preserve">Sous-effectif d'infirmiers signalé 14 jours à l'avance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1"/>
          <w:szCs w:val="21"/>
        </w:rPr>
        <w:t xml:space="preserve">Péremptions, ruptures et seuils de stock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1"/>
          <w:szCs w:val="21"/>
        </w:rPr>
        <w:t xml:space="preserve">Indisponibilité des générateurs, interventions et plans en retard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1"/>
          <w:szCs w:val="21"/>
        </w:rPr>
        <w:t xml:space="preserve">Licences et sécurité des accès</w:t>
      </w:r>
    </w:p>
    <w:p>
      <w:pPr>
        <w:spacing w:after="40"/>
      </w:pPr>
      <w:r>
        <w:rPr>
          <w:rFonts w:ascii="Georgia" w:cs="Georgia" w:eastAsia="Georgia" w:hAnsi="Georgia"/>
          <w:b/>
          <w:bCs/>
          <w:color w:val="14766E"/>
          <w:sz w:val="30"/>
          <w:szCs w:val="30"/>
        </w:rPr>
        <w:t xml:space="preserve">Il propose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1"/>
          <w:szCs w:val="21"/>
        </w:rPr>
        <w:t xml:space="preserve">Les meilleures places de dialyse, classées de 0 à 100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1"/>
          <w:szCs w:val="21"/>
        </w:rPr>
        <w:t xml:space="preserve">Les remplaçants d'infirmiers, classés et expliqués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1"/>
          <w:szCs w:val="21"/>
        </w:rPr>
        <w:t xml:space="preserve">La réforme d'un équipement quand la maintenance dépasse 60 % du prix d'achat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1"/>
          <w:szCs w:val="21"/>
        </w:rPr>
        <w:t xml:space="preserve">La simulation de facturation avant validation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1"/>
          <w:szCs w:val="21"/>
        </w:rPr>
        <w:t xml:space="preserve">Les cibles cliniques KDIGO face à chaque résultat</w:t>
      </w:r>
    </w:p>
    <w:p>
      <w:pPr>
        <w:spacing w:after="40"/>
      </w:pPr>
      <w:r>
        <w:rPr>
          <w:rFonts w:ascii="Georgia" w:cs="Georgia" w:eastAsia="Georgia" w:hAnsi="Georgia"/>
          <w:b/>
          <w:bCs/>
          <w:color w:val="14766E"/>
          <w:sz w:val="30"/>
          <w:szCs w:val="30"/>
        </w:rPr>
        <w:t xml:space="preserve">Il protège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1"/>
          <w:szCs w:val="21"/>
        </w:rPr>
        <w:t xml:space="preserve">Un placement incohérent est refusé avant d'être enregistré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1"/>
          <w:szCs w:val="21"/>
        </w:rPr>
        <w:t xml:space="preserve">Un patient devenu à risque infectieux est replacé en isolement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1"/>
          <w:szCs w:val="21"/>
        </w:rPr>
        <w:t xml:space="preserve">Le stock est gelé pendant un inventaire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1"/>
          <w:szCs w:val="21"/>
        </w:rPr>
        <w:t xml:space="preserve">Les séances facturées ne peuvent plus être modifiées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1"/>
          <w:szCs w:val="21"/>
        </w:rPr>
        <w:t xml:space="preserve">La direction ne voit jamais un patient : effectifs &lt; 5 masqués</w:t>
      </w:r>
    </w:p>
    <w:p>
      <w:r>
        <w:br w:type="page"/>
      </w:r>
    </w:p>
    <w:p>
      <w:pPr>
        <w:spacing w:after="40"/>
      </w:pPr>
      <w:r>
        <w:rPr>
          <w:b/>
          <w:bCs/>
          <w:color w:val="14766E"/>
          <w:sz w:val="18"/>
          <w:szCs w:val="18"/>
        </w:rPr>
        <w:t xml:space="preserve">PATIENTS &amp; PRISES EN CHARGE</w:t>
      </w:r>
    </w:p>
    <w:p>
      <w:pPr>
        <w:spacing w:after="100"/>
      </w:pPr>
      <w:r>
        <w:rPr>
          <w:rFonts w:ascii="Georgia" w:cs="Georgia" w:eastAsia="Georgia" w:hAnsi="Georgia"/>
          <w:b/>
          <w:bCs/>
          <w:color w:val="0B4D47"/>
          <w:sz w:val="38"/>
          <w:szCs w:val="38"/>
        </w:rPr>
        <w:t xml:space="preserve">Un dossier administratif complet, un patient facturable ou non en un coup d'œil.</w:t>
      </w:r>
    </w:p>
    <w:p>
      <w:pPr>
        <w:spacing w:after="100"/>
      </w:pPr>
      <w:r>
        <w:rPr>
          <w:color w:val="5A6A74"/>
          <w:sz w:val="22"/>
          <w:szCs w:val="22"/>
        </w:rPr>
        <w:t xml:space="preserve">Assuré ou ayant droit, attestation de droits, prise en charge validée : le système sait si une séance peut être facturée avant qu'elle ait lieu.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Numéro d'assurance unique par centre, ayants droit et historique d'affectation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Un patient non vacancier ne peut être pris en charge sans attestation valide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Statut « non facturable » visible dès la liste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Placement (salle, créneau, générateur, jours) contrôlé par la planification</w:t>
      </w:r>
    </w:p>
    <w:tbl>
      <w:tblPr>
        <w:tblW w:type="dxa" w:w="1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7500"/>
      </w:tblGrid>
      <w:tr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1" name="patients-liste" descr="patients-liste" title="patients-list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2" name="patient-fiche" descr="patient-fiche" title="patient-fich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14766E"/>
          <w:sz w:val="18"/>
          <w:szCs w:val="18"/>
        </w:rPr>
        <w:t xml:space="preserve">PLANIFICATION INTELLIGENTE</w:t>
      </w:r>
    </w:p>
    <w:p>
      <w:pPr>
        <w:spacing w:after="100"/>
      </w:pPr>
      <w:r>
        <w:rPr>
          <w:rFonts w:ascii="Georgia" w:cs="Georgia" w:eastAsia="Georgia" w:hAnsi="Georgia"/>
          <w:b/>
          <w:bCs/>
          <w:color w:val="0B4D47"/>
          <w:sz w:val="38"/>
          <w:szCs w:val="38"/>
        </w:rPr>
        <w:t xml:space="preserve">Qui dialyse où, quel jour, sur quel générateur — sans conflit.</w:t>
      </w:r>
    </w:p>
    <w:p>
      <w:pPr>
        <w:spacing w:after="100"/>
      </w:pPr>
      <w:r>
        <w:rPr>
          <w:color w:val="5A6A74"/>
          <w:sz w:val="22"/>
          <w:szCs w:val="22"/>
        </w:rPr>
        <w:t xml:space="preserve">Le planning réel de la semaine détecte les conflits ; l'aide au placement propose les meilleures places et explique son classement.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Un générateur sert un seul patient par jour et par créneau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Patients à risque infectieux : salle d'isolement uniquement, jamais mélangés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Générateur double, salle surchargée, jour fermé : détectés et signalés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Capacité théorique du centre calculée (secours 1 pour 8, séries, patients par poste)</w:t>
      </w:r>
    </w:p>
    <w:tbl>
      <w:tblPr>
        <w:tblW w:type="dxa" w:w="1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7500"/>
      </w:tblGrid>
      <w:tr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3" name="planning-semaine" descr="planning-semaine" title="planning-sema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4" name="planning-salles" descr="planning-salles" title="planning-salle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14766E"/>
          <w:sz w:val="18"/>
          <w:szCs w:val="18"/>
        </w:rPr>
        <w:t xml:space="preserve">ABSENCES DES PATIENTS</w:t>
      </w:r>
    </w:p>
    <w:p>
      <w:pPr>
        <w:spacing w:after="100"/>
      </w:pPr>
      <w:r>
        <w:rPr>
          <w:rFonts w:ascii="Georgia" w:cs="Georgia" w:eastAsia="Georgia" w:hAnsi="Georgia"/>
          <w:b/>
          <w:bCs/>
          <w:color w:val="0B4D47"/>
          <w:sz w:val="38"/>
          <w:szCs w:val="38"/>
        </w:rPr>
        <w:t xml:space="preserve">Chaque absence est détectée, qualifiée et valorisée.</w:t>
      </w:r>
    </w:p>
    <w:p>
      <w:pPr>
        <w:spacing w:after="100"/>
      </w:pPr>
      <w:r>
        <w:rPr>
          <w:color w:val="5A6A74"/>
          <w:sz w:val="22"/>
          <w:szCs w:val="22"/>
        </w:rPr>
        <w:t xml:space="preserve">Le contrôle nocturne repère les séances prévues non réalisées. Le manque à gagner est calculé au forfait de la prise en charge, avec la TVA du jour.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Motifs, justification, rattrapage ou annulation avec commentaire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Alerte quand une absence attend sa qualification depuis plus de 3 jours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Clôture automatique quand la période est facturée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Vue direction : taux d'absentéisme et part du chiffre d'affaires</w:t>
      </w:r>
    </w:p>
    <w:tbl>
      <w:tblPr>
        <w:tblW w:type="dxa" w:w="1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0"/>
      </w:tblGrid>
      <w:tr>
        <w:tc>
          <w:tcPr>
            <w:tcW w:type="dxa" w:w="150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6667500" cy="3143250"/>
                  <wp:effectExtent t="0" r="0" b="0" l="0"/>
                  <wp:docPr id="5" name="absences-patients" descr="absences-patients" title="absences-patient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67500" cy="3143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14766E"/>
          <w:sz w:val="18"/>
          <w:szCs w:val="18"/>
        </w:rPr>
        <w:t xml:space="preserve">SÉANCES &amp; CAHIER DE DIALYSE</w:t>
      </w:r>
    </w:p>
    <w:p>
      <w:pPr>
        <w:spacing w:after="100"/>
      </w:pPr>
      <w:r>
        <w:rPr>
          <w:rFonts w:ascii="Georgia" w:cs="Georgia" w:eastAsia="Georgia" w:hAnsi="Georgia"/>
          <w:b/>
          <w:bCs/>
          <w:color w:val="0B4D47"/>
          <w:sz w:val="38"/>
          <w:szCs w:val="38"/>
        </w:rPr>
        <w:t xml:space="preserve">Des séances saisies en quelques gestes, tracées jusqu'à la facture.</w:t>
      </w:r>
    </w:p>
    <w:p>
      <w:pPr>
        <w:spacing w:after="100"/>
      </w:pPr>
      <w:r>
        <w:rPr>
          <w:color w:val="5A6A74"/>
          <w:sz w:val="22"/>
          <w:szCs w:val="22"/>
        </w:rPr>
        <w:t xml:space="preserve">Création par scan du QR du patient, validation infirmière, signature médicale, consommables sortis du stock au plus proche de la péremption.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Volet paramédical : poids, tension, débit, ultrafiltration, incidents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Volet médical accessible seulement après validation infirmière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Consommables sortis automatiquement (FEFO) et valorisés au PMP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Avertissement si le générateur du patient est indisponible</w:t>
      </w:r>
    </w:p>
    <w:tbl>
      <w:tblPr>
        <w:tblW w:type="dxa" w:w="1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7500"/>
      </w:tblGrid>
      <w:tr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6" name="cahier-dialyse" descr="cahier-dialyse" title="cahier-dialys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7" name="seances" descr="seances" title="seance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14766E"/>
          <w:sz w:val="18"/>
          <w:szCs w:val="18"/>
        </w:rPr>
        <w:t xml:space="preserve">PERSONNEL SOIGNANT</w:t>
      </w:r>
    </w:p>
    <w:p>
      <w:pPr>
        <w:spacing w:after="100"/>
      </w:pPr>
      <w:r>
        <w:rPr>
          <w:rFonts w:ascii="Georgia" w:cs="Georgia" w:eastAsia="Georgia" w:hAnsi="Georgia"/>
          <w:b/>
          <w:bCs/>
          <w:color w:val="0B4D47"/>
          <w:sz w:val="38"/>
          <w:szCs w:val="38"/>
        </w:rPr>
        <w:t xml:space="preserve">La bonne équipe, au bon créneau, avant que le problème n'arrive.</w:t>
      </w:r>
    </w:p>
    <w:p>
      <w:pPr>
        <w:spacing w:after="100"/>
      </w:pPr>
      <w:r>
        <w:rPr>
          <w:color w:val="5A6A74"/>
          <w:sz w:val="22"/>
          <w:szCs w:val="22"/>
        </w:rPr>
        <w:t xml:space="preserve">Le ratio de sécurité fixe l'effectif requis ; chaque case du planning est couverte ou en sous-effectif.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Roulement, absences, remplaçants et salle d'isolement réservée aux infirmiers habilités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Remplaçants proposés et classés (salle connue, charge, jour libre)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Notification quotidienne de l'administration en cas de sous-effectif prévisible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Chaque infirmier consulte « son planning » et déclare ses absences</w:t>
      </w:r>
    </w:p>
    <w:tbl>
      <w:tblPr>
        <w:tblW w:type="dxa" w:w="1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7500"/>
      </w:tblGrid>
      <w:tr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8" name="infirmiers-presence" descr="infirmiers-presence" title="infirmiers-presenc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9" name="infirmiers-charge" descr="infirmiers-charge" title="infirmiers-char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14766E"/>
          <w:sz w:val="18"/>
          <w:szCs w:val="18"/>
        </w:rPr>
        <w:t xml:space="preserve">DOSSIER MÉDICAL</w:t>
      </w:r>
    </w:p>
    <w:p>
      <w:pPr>
        <w:spacing w:after="100"/>
      </w:pPr>
      <w:r>
        <w:rPr>
          <w:rFonts w:ascii="Georgia" w:cs="Georgia" w:eastAsia="Georgia" w:hAnsi="Georgia"/>
          <w:b/>
          <w:bCs/>
          <w:color w:val="0B4D47"/>
          <w:sz w:val="38"/>
          <w:szCs w:val="38"/>
        </w:rPr>
        <w:t xml:space="preserve">Un dossier clinique structuré, codé et partout accessible.</w:t>
      </w:r>
    </w:p>
    <w:p>
      <w:pPr>
        <w:spacing w:after="100"/>
      </w:pPr>
      <w:r>
        <w:rPr>
          <w:color w:val="5A6A74"/>
          <w:sz w:val="22"/>
          <w:szCs w:val="22"/>
        </w:rPr>
        <w:t xml:space="preserve">Antécédents CIM-10, allergies, sérologies, examens et biologie LOINC, ordonnances signées : chaque donnée est contrôlée à la saisie.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Sérologie positive : conduite à tenir obligatoire et replacement automatique en isolement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Ordonnance signée = contenu verrouillé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Machine à états des demandes d'examen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Export interopérable FHIR R4</w:t>
      </w:r>
    </w:p>
    <w:tbl>
      <w:tblPr>
        <w:tblW w:type="dxa" w:w="1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7500"/>
      </w:tblGrid>
      <w:tr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10" name="dossier-medical-synthese" descr="dossier-medical-synthese" title="dossier-medical-synthes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11" name="dossier-medical-serologies" descr="dossier-medical-serologies" title="dossier-medical-serologie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14766E"/>
          <w:sz w:val="18"/>
          <w:szCs w:val="18"/>
        </w:rPr>
        <w:t xml:space="preserve">ANÉMIE &amp; GREFFE</w:t>
      </w:r>
    </w:p>
    <w:p>
      <w:pPr>
        <w:spacing w:after="100"/>
      </w:pPr>
      <w:r>
        <w:rPr>
          <w:rFonts w:ascii="Georgia" w:cs="Georgia" w:eastAsia="Georgia" w:hAnsi="Georgia"/>
          <w:b/>
          <w:bCs/>
          <w:color w:val="0B4D47"/>
          <w:sz w:val="38"/>
          <w:szCs w:val="38"/>
        </w:rPr>
        <w:t xml:space="preserve">Le traitement de l'anémie sans faille, la greffe préparée dès la dialyse.</w:t>
      </w:r>
    </w:p>
    <w:p>
      <w:pPr>
        <w:spacing w:after="100"/>
      </w:pPr>
      <w:r>
        <w:rPr>
          <w:color w:val="5A6A74"/>
          <w:sz w:val="22"/>
          <w:szCs w:val="22"/>
        </w:rPr>
        <w:t xml:space="preserve">Chaque résultat est comparé aux cibles KDIGO ; l'observance des traitements est vérifiée tous les jours ; le bilan pré-greffe suit un parcours encadré.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Cibles KDIGO : hémoglobine, ferritine, CST, Kt/V, phosphore, calcium, PTH, albumine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Retard d'observance constaté ou rappel d'échéance, alerte au médecin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Risque immunologique (PRA), DFG CKD-EPI, alertes sérologiques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Checklist de 23 étapes, décisions de RCP, donneurs vivants, dossier PDF</w:t>
      </w:r>
    </w:p>
    <w:tbl>
      <w:tblPr>
        <w:tblW w:type="dxa" w:w="1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7500"/>
      </w:tblGrid>
      <w:tr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12" name="dossier-medical-anemie" descr="dossier-medical-anemie" title="dossier-medical-anemi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13" name="dossier-medical-greffe" descr="dossier-medical-greffe" title="dossier-medical-greff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14766E"/>
          <w:sz w:val="18"/>
          <w:szCs w:val="18"/>
        </w:rPr>
        <w:t xml:space="preserve">STOCK &amp; PHARMACIE</w:t>
      </w:r>
    </w:p>
    <w:p>
      <w:pPr>
        <w:spacing w:after="100"/>
      </w:pPr>
      <w:r>
        <w:rPr>
          <w:rFonts w:ascii="Georgia" w:cs="Georgia" w:eastAsia="Georgia" w:hAnsi="Georgia"/>
          <w:b/>
          <w:bCs/>
          <w:color w:val="0B4D47"/>
          <w:sz w:val="38"/>
          <w:szCs w:val="38"/>
        </w:rPr>
        <w:t xml:space="preserve">Du lot au patient, de la réception à l'inventaire.</w:t>
      </w:r>
    </w:p>
    <w:p>
      <w:pPr>
        <w:spacing w:after="100"/>
      </w:pPr>
      <w:r>
        <w:rPr>
          <w:color w:val="5A6A74"/>
          <w:sz w:val="22"/>
          <w:szCs w:val="22"/>
        </w:rPr>
        <w:t xml:space="preserve">Prix moyen pondéré recalculé en cascade, sorties au plus proche de la péremption, inventaire qui gèle les mouvements.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Traçabilité complète d'un lot : fournisseur, séances, patients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Alertes de péremption, rupture et seuil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Inventaire avec feuille de comptage Excel et justification de chaque écart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Kits de consommables valorisés pour la direction</w:t>
      </w:r>
    </w:p>
    <w:tbl>
      <w:tblPr>
        <w:tblW w:type="dxa" w:w="1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7500"/>
      </w:tblGrid>
      <w:tr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14" name="stock-dashboard" descr="stock-dashboard" title="stock-dashboar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15" name="stock-inventaires" descr="stock-inventaires" title="stock-inventaire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14766E"/>
          <w:sz w:val="18"/>
          <w:szCs w:val="18"/>
        </w:rPr>
        <w:t xml:space="preserve">GMAO — AIDE À LA DÉCISION</w:t>
      </w:r>
    </w:p>
    <w:p>
      <w:pPr>
        <w:spacing w:after="100"/>
      </w:pPr>
      <w:r>
        <w:rPr>
          <w:rFonts w:ascii="Georgia" w:cs="Georgia" w:eastAsia="Georgia" w:hAnsi="Georgia"/>
          <w:b/>
          <w:bCs/>
          <w:color w:val="0B4D47"/>
          <w:sz w:val="38"/>
          <w:szCs w:val="38"/>
        </w:rPr>
        <w:t xml:space="preserve">Savoir quand réparer, quand réformer, et ce que la panne vous coûte.</w:t>
      </w:r>
    </w:p>
    <w:p>
      <w:pPr>
        <w:spacing w:after="100"/>
      </w:pPr>
      <w:r>
        <w:rPr>
          <w:color w:val="5A6A74"/>
          <w:sz w:val="22"/>
          <w:szCs w:val="22"/>
        </w:rPr>
        <w:t xml:space="preserve">Coût de possession, indisponibilité et ratio de maintenance par équipement : le système recommande l'étude de la réforme.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Interventions préventives et curatives, pièces jointes, coûts par ligne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Valorisation automatique du temps de l'intervenant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Réforme recommandée au-delà de 60 % du prix d'acquisition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Un patient affecté à un générateur en panne est signalé à l'équipe et à la direction</w:t>
      </w:r>
    </w:p>
    <w:tbl>
      <w:tblPr>
        <w:tblW w:type="dxa" w:w="1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7500"/>
      </w:tblGrid>
      <w:tr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16" name="gmao-fiche-equipement" descr="gmao-fiche-equipement" title="gmao-fiche-equipemen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17" name="gmao-dashboard" descr="gmao-dashboard" title="gmao-dashboar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14766E"/>
          <w:sz w:val="18"/>
          <w:szCs w:val="18"/>
        </w:rPr>
        <w:t xml:space="preserve">FACTURATION, RÈGLEMENTS, COMPTABILITÉ</w:t>
      </w:r>
    </w:p>
    <w:p>
      <w:pPr>
        <w:spacing w:after="100"/>
      </w:pPr>
      <w:r>
        <w:rPr>
          <w:rFonts w:ascii="Georgia" w:cs="Georgia" w:eastAsia="Georgia" w:hAnsi="Georgia"/>
          <w:b/>
          <w:bCs/>
          <w:color w:val="0B4D47"/>
          <w:sz w:val="38"/>
          <w:szCs w:val="38"/>
        </w:rPr>
        <w:t xml:space="preserve">De la séance validée à l'écriture comptable, sans ressaisie.</w:t>
      </w:r>
    </w:p>
    <w:p>
      <w:pPr>
        <w:spacing w:after="100"/>
      </w:pPr>
      <w:r>
        <w:rPr>
          <w:color w:val="5A6A74"/>
          <w:sz w:val="22"/>
          <w:szCs w:val="22"/>
        </w:rPr>
        <w:t xml:space="preserve">La simulation montre chaque facture avant validation ; les règlements et les écritures suivent automatiquement.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Numérotation configurable, TVA datée, regroupement par forfait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Séances exclues ou forfait ajusté avant validation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Soldes, restes à payer et trop-perçus, export Excel / PDF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Écritures de ventes et de trésorerie équilibrées, clôture de période</w:t>
      </w:r>
    </w:p>
    <w:tbl>
      <w:tblPr>
        <w:tblW w:type="dxa" w:w="1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7500"/>
      </w:tblGrid>
      <w:tr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18" name="facturation" descr="facturation" title="facturatio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19" name="reglement" descr="reglement" title="reglemen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14766E"/>
          <w:sz w:val="18"/>
          <w:szCs w:val="18"/>
        </w:rPr>
        <w:t xml:space="preserve">DIRECTION DE SOCIÉTÉ</w:t>
      </w:r>
    </w:p>
    <w:p>
      <w:pPr>
        <w:spacing w:after="100"/>
      </w:pPr>
      <w:r>
        <w:rPr>
          <w:rFonts w:ascii="Georgia" w:cs="Georgia" w:eastAsia="Georgia" w:hAnsi="Georgia"/>
          <w:b/>
          <w:bCs/>
          <w:color w:val="0B4D47"/>
          <w:sz w:val="38"/>
          <w:szCs w:val="38"/>
        </w:rPr>
        <w:t xml:space="preserve">Tous les centres sur un écran, à jour à la seconde, sans jamais voir un patient.</w:t>
      </w:r>
    </w:p>
    <w:p>
      <w:pPr>
        <w:spacing w:after="100"/>
      </w:pPr>
      <w:r>
        <w:rPr>
          <w:color w:val="5A6A74"/>
          <w:sz w:val="22"/>
          <w:szCs w:val="22"/>
        </w:rPr>
        <w:t xml:space="preserve">Indicateurs consolidés par centre, comparaison à la période précédente, alertes et capacité théorique — anonymes par construction.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Finances, clinique KDIGO, stock, GMAO, absences, capacité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Alertes critiques et avertissements, historique des alertes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Instantanés mensuels figés et rapports PDF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Mise à jour en temps réel</w:t>
      </w:r>
    </w:p>
    <w:tbl>
      <w:tblPr>
        <w:tblW w:type="dxa" w:w="1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7500"/>
      </w:tblGrid>
      <w:tr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20" name="direction-dashboard" descr="direction-dashboard" title="direction-dashboar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21" name="direction-capacite" descr="direction-capacite" title="direction-capacit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14766E"/>
          <w:sz w:val="18"/>
          <w:szCs w:val="18"/>
        </w:rPr>
        <w:t xml:space="preserve">SÉCURITÉ &amp; CONFORMITÉ</w:t>
      </w:r>
    </w:p>
    <w:p>
      <w:pPr>
        <w:spacing w:after="100"/>
      </w:pPr>
      <w:r>
        <w:rPr>
          <w:rFonts w:ascii="Georgia" w:cs="Georgia" w:eastAsia="Georgia" w:hAnsi="Georgia"/>
          <w:b/>
          <w:bCs/>
          <w:color w:val="0B4D47"/>
          <w:sz w:val="38"/>
          <w:szCs w:val="38"/>
        </w:rPr>
        <w:t xml:space="preserve">Chaque accès contrôlé, chaque action tracée.</w:t>
      </w:r>
    </w:p>
    <w:p>
      <w:pPr>
        <w:spacing w:after="100"/>
      </w:pPr>
      <w:r>
        <w:rPr>
          <w:color w:val="5A6A74"/>
          <w:sz w:val="22"/>
          <w:szCs w:val="22"/>
        </w:rPr>
        <w:t xml:space="preserve">Cloisonnement strict par centre, double authentification, journal d'audit, licences signées.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Jetons en cookies HttpOnly, rotation et détection de réutilisation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Double authentification TOTP avec codes de secours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Journal d'audit « qui a fait quoi », consultations du dossier médical comprises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Rôles et périmètres restreints (médecin, infirmier, direction, propriétaire)</w:t>
      </w:r>
    </w:p>
    <w:tbl>
      <w:tblPr>
        <w:tblW w:type="dxa" w:w="1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7500"/>
      </w:tblGrid>
      <w:tr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22" name="admin-audit" descr="admin-audit" title="admin-audi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23" name="organisation-licences" descr="organisation-licences" title="organisation-licence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14766E"/>
          <w:sz w:val="18"/>
          <w:szCs w:val="18"/>
        </w:rPr>
        <w:t xml:space="preserve">MULTI-CENTRES, MULTILINGUE, MOBILE</w:t>
      </w:r>
    </w:p>
    <w:p>
      <w:pPr>
        <w:spacing w:after="100"/>
      </w:pPr>
      <w:r>
        <w:rPr>
          <w:rFonts w:ascii="Georgia" w:cs="Georgia" w:eastAsia="Georgia" w:hAnsi="Georgia"/>
          <w:b/>
          <w:bCs/>
          <w:color w:val="0B4D47"/>
          <w:sz w:val="38"/>
          <w:szCs w:val="38"/>
        </w:rPr>
        <w:t xml:space="preserve">Sur tous vos sites, dans votre langue, sur tous vos écrans.</w:t>
      </w:r>
    </w:p>
    <w:p>
      <w:pPr>
        <w:spacing w:after="100"/>
      </w:pPr>
      <w:r>
        <w:rPr>
          <w:color w:val="5A6A74"/>
          <w:sz w:val="22"/>
          <w:szCs w:val="22"/>
        </w:rPr>
        <w:t xml:space="preserve">Français, arabe (de droite à gauche), kabyle et anglais ; interface responsive du téléphone au grand écran.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Un centre = un cloisonnement : aucune donnée ne traverse les centres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Sociétés, centres et comptes d'encadrement administrés par l'éditeur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Mode clair / sombre, accessibilité tactile</w:t>
      </w:r>
    </w:p>
    <w:tbl>
      <w:tblPr>
        <w:tblW w:type="dxa" w:w="1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7500"/>
      </w:tblGrid>
      <w:tr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3143250"/>
                  <wp:effectExtent t="0" r="0" b="0" l="0"/>
                  <wp:docPr id="24" name="mobile-dashboard" descr="mobile-dashboard" title="mobile-dashboar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143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3143250"/>
                  <wp:effectExtent t="0" r="0" b="0" l="0"/>
                  <wp:docPr id="25" name="mobile-planning" descr="mobile-planning" title="mobile-plann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143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14766E"/>
          <w:sz w:val="18"/>
          <w:szCs w:val="18"/>
        </w:rPr>
        <w:t xml:space="preserve">MISE EN ROUTE</w:t>
      </w:r>
    </w:p>
    <w:p>
      <w:pPr>
        <w:spacing w:after="100"/>
      </w:pPr>
      <w:r>
        <w:rPr>
          <w:rFonts w:ascii="Georgia" w:cs="Georgia" w:eastAsia="Georgia" w:hAnsi="Georgia"/>
          <w:b/>
          <w:bCs/>
          <w:color w:val="0B4D47"/>
          <w:sz w:val="38"/>
          <w:szCs w:val="38"/>
        </w:rPr>
        <w:t xml:space="preserve">Opérationnel simplement : reprise de vos données et documents à votre image.</w:t>
      </w:r>
    </w:p>
    <w:p>
      <w:pPr>
        <w:spacing w:after="100"/>
      </w:pPr>
      <w:r>
        <w:rPr>
          <w:color w:val="5A6A74"/>
          <w:sz w:val="22"/>
          <w:szCs w:val="22"/>
        </w:rPr>
        <w:t xml:space="preserve">Reprise d'un logiciel existant par lots rejouables et annulables ; modèles de documents personnalisables en toute sécurité.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Import par fichiers avec vérification à blanc et compte rendu ligne à ligne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Rapprochement au lieu de doublons, reprise annulable tant qu'elle n'a pas servi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Onze documents imprimables avec logo, en-tête et pied de page de votre société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Référentiels importables (forfaits, salles, caisses, transporteurs…)</w:t>
      </w:r>
    </w:p>
    <w:tbl>
      <w:tblPr>
        <w:tblW w:type="dxa" w:w="1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7500"/>
      </w:tblGrid>
      <w:tr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26" name="admin-reprise" descr="admin-reprise" title="admin-repris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27" name="modeles-document" descr="modeles-document" title="modeles-documen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p>
      <w:pPr>
        <w:spacing w:after="100"/>
      </w:pPr>
      <w:r>
        <w:rPr>
          <w:b/>
          <w:bCs/>
          <w:color w:val="14766E"/>
          <w:sz w:val="18"/>
          <w:szCs w:val="18"/>
        </w:rPr>
        <w:t xml:space="preserve">EN CHIFFRES</w:t>
      </w:r>
    </w:p>
    <w:p>
      <w:pPr>
        <w:spacing w:after="100"/>
      </w:pPr>
      <w:r>
        <w:rPr>
          <w:rFonts w:ascii="Georgia" w:cs="Georgia" w:eastAsia="Georgia" w:hAnsi="Georgia"/>
          <w:b/>
          <w:bCs/>
          <w:color w:val="0B4D47"/>
          <w:sz w:val="40"/>
          <w:szCs w:val="40"/>
        </w:rPr>
        <w:t xml:space="preserve">Une couverture que l'on peut vérifier, règle par règle.</w:t>
      </w:r>
    </w:p>
    <w:p>
      <w:pPr>
        <w:spacing w:after="80"/>
      </w:pPr>
      <w:r>
        <w:rPr>
          <w:rFonts w:ascii="Georgia" w:cs="Georgia" w:eastAsia="Georgia" w:hAnsi="Georgia"/>
          <w:b/>
          <w:bCs/>
          <w:color w:val="B87A00"/>
          <w:sz w:val="44"/>
          <w:szCs w:val="44"/>
        </w:rPr>
        <w:t xml:space="preserve">493  </w:t>
      </w:r>
      <w:r>
        <w:rPr>
          <w:sz w:val="24"/>
          <w:szCs w:val="24"/>
        </w:rPr>
        <w:t xml:space="preserve">règles de gestion documentées</w:t>
      </w:r>
    </w:p>
    <w:p>
      <w:pPr>
        <w:spacing w:after="80"/>
      </w:pPr>
      <w:r>
        <w:rPr>
          <w:rFonts w:ascii="Georgia" w:cs="Georgia" w:eastAsia="Georgia" w:hAnsi="Georgia"/>
          <w:b/>
          <w:bCs/>
          <w:color w:val="B87A00"/>
          <w:sz w:val="44"/>
          <w:szCs w:val="44"/>
        </w:rPr>
        <w:t xml:space="preserve">15  </w:t>
      </w:r>
      <w:r>
        <w:rPr>
          <w:sz w:val="24"/>
          <w:szCs w:val="24"/>
        </w:rPr>
        <w:t xml:space="preserve">domaines métier</w:t>
      </w:r>
    </w:p>
    <w:p>
      <w:pPr>
        <w:spacing w:after="80"/>
      </w:pPr>
      <w:r>
        <w:rPr>
          <w:rFonts w:ascii="Georgia" w:cs="Georgia" w:eastAsia="Georgia" w:hAnsi="Georgia"/>
          <w:b/>
          <w:bCs/>
          <w:color w:val="B87A00"/>
          <w:sz w:val="44"/>
          <w:szCs w:val="44"/>
        </w:rPr>
        <w:t xml:space="preserve">4  </w:t>
      </w:r>
      <w:r>
        <w:rPr>
          <w:sz w:val="24"/>
          <w:szCs w:val="24"/>
        </w:rPr>
        <w:t xml:space="preserve">langues : français, arabe, kabyle, anglais</w:t>
      </w:r>
    </w:p>
    <w:p>
      <w:pPr>
        <w:spacing w:after="80"/>
      </w:pPr>
      <w:r>
        <w:rPr>
          <w:rFonts w:ascii="Georgia" w:cs="Georgia" w:eastAsia="Georgia" w:hAnsi="Georgia"/>
          <w:b/>
          <w:bCs/>
          <w:color w:val="B87A00"/>
          <w:sz w:val="44"/>
          <w:szCs w:val="44"/>
        </w:rPr>
        <w:t xml:space="preserve">8  </w:t>
      </w:r>
      <w:r>
        <w:rPr>
          <w:sz w:val="24"/>
          <w:szCs w:val="24"/>
        </w:rPr>
        <w:t xml:space="preserve">surveillances automatiques planifiées</w:t>
      </w:r>
    </w:p>
    <w:p>
      <w:pPr>
        <w:spacing w:after="80"/>
      </w:pPr>
      <w:r>
        <w:rPr>
          <w:rFonts w:ascii="Georgia" w:cs="Georgia" w:eastAsia="Georgia" w:hAnsi="Georgia"/>
          <w:b/>
          <w:bCs/>
          <w:color w:val="B87A00"/>
          <w:sz w:val="44"/>
          <w:szCs w:val="44"/>
        </w:rPr>
        <w:t xml:space="preserve">11  </w:t>
      </w:r>
      <w:r>
        <w:rPr>
          <w:sz w:val="24"/>
          <w:szCs w:val="24"/>
        </w:rPr>
        <w:t xml:space="preserve">documents imprimables personnalisables</w:t>
      </w:r>
    </w:p>
    <w:p>
      <w:pPr>
        <w:spacing w:after="80"/>
      </w:pPr>
      <w:r>
        <w:rPr>
          <w:rFonts w:ascii="Georgia" w:cs="Georgia" w:eastAsia="Georgia" w:hAnsi="Georgia"/>
          <w:b/>
          <w:bCs/>
          <w:color w:val="B87A00"/>
          <w:sz w:val="44"/>
          <w:szCs w:val="44"/>
        </w:rPr>
        <w:t xml:space="preserve">5  </w:t>
      </w:r>
      <w:r>
        <w:rPr>
          <w:sz w:val="24"/>
          <w:szCs w:val="24"/>
        </w:rPr>
        <w:t xml:space="preserve">bornes de sécurité : MFA, audit, licences, cloisonnement, anonymat</w:t>
      </w:r>
    </w:p>
    <w:p>
      <w:r>
        <w:br w:type="page"/>
      </w:r>
    </w:p>
    <w:p>
      <w:pPr>
        <w:spacing w:after="300"/>
      </w:pPr>
      <w:r>
        <w:rPr>
          <w:rFonts w:ascii="Georgia" w:cs="Georgia" w:eastAsia="Georgia" w:hAnsi="Georgia"/>
          <w:b/>
          <w:bCs/>
          <w:color w:val="0B4D47"/>
          <w:sz w:val="48"/>
          <w:szCs w:val="48"/>
        </w:rPr>
        <w:t xml:space="preserve">Voyons ensemble ce que HemoDialyse peut faire pour votre centre.</w:t>
      </w:r>
    </w:p>
    <w:p>
      <w:pPr>
        <w:spacing w:after="100"/>
      </w:pPr>
      <w:r>
        <w:rPr>
          <w:color w:val="5A6A74"/>
          <w:sz w:val="26"/>
          <w:szCs w:val="26"/>
        </w:rPr>
        <w:t xml:space="preserve">Démonstration sur vos propres cas d'usage — reprise de vos données comprise.</w:t>
      </w:r>
    </w:p>
    <w:sectPr>
      <w:pgSz w:w="16838" w:h="11906" w:orient="landscape"/>
      <w:pgMar w:top="800" w:right="800" w:bottom="800" w:left="8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35d0edd461829d8ef68d0d2a42350e6afd9d891e.png"/><Relationship Id="rId8" Type="http://schemas.openxmlformats.org/officeDocument/2006/relationships/image" Target="media/127fad80e5771386af521f894c399ee8037ca09c.png"/><Relationship Id="rId9" Type="http://schemas.openxmlformats.org/officeDocument/2006/relationships/image" Target="media/dcf6df5fb1308f38069e875d9ee3b1c1f4c5e32b.png"/><Relationship Id="rId10" Type="http://schemas.openxmlformats.org/officeDocument/2006/relationships/image" Target="media/1e47971b159a87fc7815cfad7b796917992dc4b5.png"/><Relationship Id="rId11" Type="http://schemas.openxmlformats.org/officeDocument/2006/relationships/image" Target="media/0aed8290ea64d63b236acf68e87bc09379c9589c.png"/><Relationship Id="rId12" Type="http://schemas.openxmlformats.org/officeDocument/2006/relationships/image" Target="media/e1ed6ce3a783cf9763e4c089a496f49994f743bd.png"/><Relationship Id="rId13" Type="http://schemas.openxmlformats.org/officeDocument/2006/relationships/image" Target="media/226a90fff7a52c4bd8cb95373ac673f658be4155.png"/><Relationship Id="rId14" Type="http://schemas.openxmlformats.org/officeDocument/2006/relationships/image" Target="media/0767ea545a275be298858a009a6524dbd766149a.png"/><Relationship Id="rId15" Type="http://schemas.openxmlformats.org/officeDocument/2006/relationships/image" Target="media/05a18cacaaffe0f165a832ec7b9fb998dd064298.png"/><Relationship Id="rId16" Type="http://schemas.openxmlformats.org/officeDocument/2006/relationships/image" Target="media/5c869fcc696c28e6ddce6cbe73ddc06fe14a01b1.png"/><Relationship Id="rId17" Type="http://schemas.openxmlformats.org/officeDocument/2006/relationships/image" Target="media/d7ecf7621cc55df036c6f40509db8857ccb04b85.png"/><Relationship Id="rId18" Type="http://schemas.openxmlformats.org/officeDocument/2006/relationships/image" Target="media/17cfbf3720bcb0030fb62d57968069dd32c35489.png"/><Relationship Id="rId19" Type="http://schemas.openxmlformats.org/officeDocument/2006/relationships/image" Target="media/774c9062e7d8b7e06556d286ffcbee6bef70ceba.png"/><Relationship Id="rId20" Type="http://schemas.openxmlformats.org/officeDocument/2006/relationships/image" Target="media/7ac0284712d46823d5bab1b57273051e57c1d456.png"/><Relationship Id="rId21" Type="http://schemas.openxmlformats.org/officeDocument/2006/relationships/image" Target="media/c9478bef3657186de629c65bf22278431f13964b.png"/><Relationship Id="rId22" Type="http://schemas.openxmlformats.org/officeDocument/2006/relationships/image" Target="media/b498b22877a3981f2f72ac72478bf98df44328bc.png"/><Relationship Id="rId23" Type="http://schemas.openxmlformats.org/officeDocument/2006/relationships/image" Target="media/9512375ddd008ff62c3f0505e0b346d2f4a20f31.png"/><Relationship Id="rId24" Type="http://schemas.openxmlformats.org/officeDocument/2006/relationships/image" Target="media/96668959cac1eeb56a17eda1c84fcdbeaced9689.png"/><Relationship Id="rId25" Type="http://schemas.openxmlformats.org/officeDocument/2006/relationships/image" Target="media/2625774fab0d80ebf455ff3ac4a46554630e9675.png"/><Relationship Id="rId26" Type="http://schemas.openxmlformats.org/officeDocument/2006/relationships/image" Target="media/4bdc03032e4a59385100b84a7dea8cbff7b319cf.png"/><Relationship Id="rId27" Type="http://schemas.openxmlformats.org/officeDocument/2006/relationships/image" Target="media/96a6335111d9c6b3491e56bfd2f81028948a4a81.png"/><Relationship Id="rId28" Type="http://schemas.openxmlformats.org/officeDocument/2006/relationships/image" Target="media/7d40b1afbd24fd280ccc7430468da30c18e4efd8.png"/><Relationship Id="rId29" Type="http://schemas.openxmlformats.org/officeDocument/2006/relationships/image" Target="media/beb5efd19eb5c5e18d93fc39dcfd8fd4dd2680c1.png"/><Relationship Id="rId30" Type="http://schemas.openxmlformats.org/officeDocument/2006/relationships/image" Target="media/f3224307e9c9ac8b8247411bd6d70d6efcc77104.png"/><Relationship Id="rId31" Type="http://schemas.openxmlformats.org/officeDocument/2006/relationships/image" Target="media/7cd18a20455fdd27b201372a9a82eab325193bc2.png"/><Relationship Id="rId32" Type="http://schemas.openxmlformats.org/officeDocument/2006/relationships/image" Target="media/bac2c8440f44d4ca9992971266f7c78155ffdadb.png"/><Relationship Id="rId33" Type="http://schemas.openxmlformats.org/officeDocument/2006/relationships/image" Target="media/70fad9e95498bb6984e24b05710488e56897b371.png"/><Relationship Id="rId3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HemoDialyse — Plaquette commerciale</dc:title>
  <dc:creator>HemoDialyse</dc:creator>
  <cp:lastModifiedBy>Un-named</cp:lastModifiedBy>
  <cp:revision>1</cp:revision>
  <dcterms:created xsi:type="dcterms:W3CDTF">2026-10-06T11:28:12.231Z</dcterms:created>
  <dcterms:modified xsi:type="dcterms:W3CDTF">2026-10-06T11:28:12.231Z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