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4F7A" w14:textId="77777777" w:rsidR="00C86537" w:rsidRDefault="00000000">
      <w:pPr>
        <w:pStyle w:val="ReportTitle"/>
        <w:jc w:val="center"/>
      </w:pPr>
      <w:r>
        <w:t>Nessus-Based Risk Assessment Report</w:t>
      </w:r>
    </w:p>
    <w:p w14:paraId="2BD7E51F" w14:textId="77777777" w:rsidR="00C86537" w:rsidRDefault="00000000">
      <w:pPr>
        <w:pStyle w:val="ReportSubtitle"/>
        <w:jc w:val="center"/>
      </w:pPr>
      <w:r>
        <w:t>Methodology-aligned report for vulnerability-derived risk identification, scoring, evaluation, heat mapping, and treatment.</w:t>
      </w:r>
    </w:p>
    <w:p w14:paraId="147D9C06" w14:textId="77777777" w:rsidR="00C86537" w:rsidRDefault="00C86537"/>
    <w:tbl>
      <w:tblPr>
        <w:tblStyle w:val="TableGrid"/>
        <w:tblW w:w="0" w:type="auto"/>
        <w:jc w:val="center"/>
        <w:tblLook w:val="04A0" w:firstRow="1" w:lastRow="0" w:firstColumn="1" w:lastColumn="0" w:noHBand="0" w:noVBand="1"/>
      </w:tblPr>
      <w:tblGrid>
        <w:gridCol w:w="4868"/>
        <w:gridCol w:w="4868"/>
      </w:tblGrid>
      <w:tr w:rsidR="00C86537" w14:paraId="57C005C4" w14:textId="77777777">
        <w:trPr>
          <w:jc w:val="center"/>
        </w:trPr>
        <w:tc>
          <w:tcPr>
            <w:tcW w:w="4873" w:type="dxa"/>
            <w:shd w:val="clear" w:color="auto" w:fill="EAF2F8"/>
            <w:tcMar>
              <w:top w:w="100" w:type="dxa"/>
              <w:left w:w="110" w:type="dxa"/>
              <w:bottom w:w="100" w:type="dxa"/>
              <w:right w:w="110" w:type="dxa"/>
            </w:tcMar>
            <w:vAlign w:val="center"/>
          </w:tcPr>
          <w:p w14:paraId="31D749C7" w14:textId="77777777" w:rsidR="00C86537" w:rsidRDefault="00000000">
            <w:r>
              <w:rPr>
                <w:b/>
                <w:color w:val="193454"/>
              </w:rPr>
              <w:t>Prepared For</w:t>
            </w:r>
          </w:p>
        </w:tc>
        <w:tc>
          <w:tcPr>
            <w:tcW w:w="4873" w:type="dxa"/>
            <w:shd w:val="clear" w:color="auto" w:fill="FAFAFA"/>
            <w:tcMar>
              <w:top w:w="100" w:type="dxa"/>
              <w:left w:w="110" w:type="dxa"/>
              <w:bottom w:w="100" w:type="dxa"/>
              <w:right w:w="110" w:type="dxa"/>
            </w:tcMar>
            <w:vAlign w:val="center"/>
          </w:tcPr>
          <w:p w14:paraId="2B362897" w14:textId="5A71D516" w:rsidR="00C86537" w:rsidRDefault="00332019">
            <w:r>
              <w:t>SLIMTECH</w:t>
            </w:r>
          </w:p>
        </w:tc>
      </w:tr>
      <w:tr w:rsidR="00C86537" w14:paraId="26F7318B" w14:textId="77777777">
        <w:trPr>
          <w:jc w:val="center"/>
        </w:trPr>
        <w:tc>
          <w:tcPr>
            <w:tcW w:w="4873" w:type="dxa"/>
            <w:shd w:val="clear" w:color="auto" w:fill="EAF2F8"/>
            <w:tcMar>
              <w:top w:w="100" w:type="dxa"/>
              <w:left w:w="110" w:type="dxa"/>
              <w:bottom w:w="100" w:type="dxa"/>
              <w:right w:w="110" w:type="dxa"/>
            </w:tcMar>
            <w:vAlign w:val="center"/>
          </w:tcPr>
          <w:p w14:paraId="7CAA1308" w14:textId="77777777" w:rsidR="00C86537" w:rsidRDefault="00000000">
            <w:r>
              <w:rPr>
                <w:b/>
                <w:color w:val="193454"/>
              </w:rPr>
              <w:t>Assessment Basis</w:t>
            </w:r>
          </w:p>
        </w:tc>
        <w:tc>
          <w:tcPr>
            <w:tcW w:w="4873" w:type="dxa"/>
            <w:shd w:val="clear" w:color="auto" w:fill="FAFAFA"/>
            <w:tcMar>
              <w:top w:w="100" w:type="dxa"/>
              <w:left w:w="110" w:type="dxa"/>
              <w:bottom w:w="100" w:type="dxa"/>
              <w:right w:w="110" w:type="dxa"/>
            </w:tcMar>
            <w:vAlign w:val="center"/>
          </w:tcPr>
          <w:p w14:paraId="23A90A27" w14:textId="77777777" w:rsidR="00C86537" w:rsidRDefault="00000000">
            <w:r>
              <w:t>Nessus vulnerability scan output and analyst-led risk scoring</w:t>
            </w:r>
          </w:p>
        </w:tc>
      </w:tr>
      <w:tr w:rsidR="00C86537" w14:paraId="3B295271" w14:textId="77777777">
        <w:trPr>
          <w:jc w:val="center"/>
        </w:trPr>
        <w:tc>
          <w:tcPr>
            <w:tcW w:w="4873" w:type="dxa"/>
            <w:shd w:val="clear" w:color="auto" w:fill="EAF2F8"/>
            <w:tcMar>
              <w:top w:w="100" w:type="dxa"/>
              <w:left w:w="110" w:type="dxa"/>
              <w:bottom w:w="100" w:type="dxa"/>
              <w:right w:w="110" w:type="dxa"/>
            </w:tcMar>
            <w:vAlign w:val="center"/>
          </w:tcPr>
          <w:p w14:paraId="74345DE3" w14:textId="77777777" w:rsidR="00C86537" w:rsidRDefault="00000000">
            <w:r>
              <w:rPr>
                <w:b/>
                <w:color w:val="193454"/>
              </w:rPr>
              <w:t>Prepared By</w:t>
            </w:r>
          </w:p>
        </w:tc>
        <w:tc>
          <w:tcPr>
            <w:tcW w:w="4873" w:type="dxa"/>
            <w:shd w:val="clear" w:color="auto" w:fill="FAFAFA"/>
            <w:tcMar>
              <w:top w:w="100" w:type="dxa"/>
              <w:left w:w="110" w:type="dxa"/>
              <w:bottom w:w="100" w:type="dxa"/>
              <w:right w:w="110" w:type="dxa"/>
            </w:tcMar>
            <w:vAlign w:val="center"/>
          </w:tcPr>
          <w:p w14:paraId="1802B6BE" w14:textId="1F144757" w:rsidR="00C86537" w:rsidRDefault="00332019">
            <w:r>
              <w:t xml:space="preserve">Olushola Ajala </w:t>
            </w:r>
          </w:p>
        </w:tc>
      </w:tr>
      <w:tr w:rsidR="00C86537" w14:paraId="0548E599" w14:textId="77777777">
        <w:trPr>
          <w:jc w:val="center"/>
        </w:trPr>
        <w:tc>
          <w:tcPr>
            <w:tcW w:w="4873" w:type="dxa"/>
            <w:shd w:val="clear" w:color="auto" w:fill="EAF2F8"/>
            <w:tcMar>
              <w:top w:w="100" w:type="dxa"/>
              <w:left w:w="110" w:type="dxa"/>
              <w:bottom w:w="100" w:type="dxa"/>
              <w:right w:w="110" w:type="dxa"/>
            </w:tcMar>
            <w:vAlign w:val="center"/>
          </w:tcPr>
          <w:p w14:paraId="3B4C9477" w14:textId="77777777" w:rsidR="00C86537" w:rsidRDefault="00000000">
            <w:r>
              <w:rPr>
                <w:b/>
                <w:color w:val="193454"/>
              </w:rPr>
              <w:t>Assessment Date</w:t>
            </w:r>
          </w:p>
        </w:tc>
        <w:tc>
          <w:tcPr>
            <w:tcW w:w="4873" w:type="dxa"/>
            <w:shd w:val="clear" w:color="auto" w:fill="FAFAFA"/>
            <w:tcMar>
              <w:top w:w="100" w:type="dxa"/>
              <w:left w:w="110" w:type="dxa"/>
              <w:bottom w:w="100" w:type="dxa"/>
              <w:right w:w="110" w:type="dxa"/>
            </w:tcMar>
            <w:vAlign w:val="center"/>
          </w:tcPr>
          <w:p w14:paraId="03E863CA" w14:textId="30A179A4" w:rsidR="00C86537" w:rsidRDefault="00332019">
            <w:r>
              <w:t>10.05.2026</w:t>
            </w:r>
          </w:p>
        </w:tc>
      </w:tr>
    </w:tbl>
    <w:p w14:paraId="589CCE4F" w14:textId="77777777" w:rsidR="00C86537" w:rsidRDefault="00C86537"/>
    <w:tbl>
      <w:tblPr>
        <w:tblStyle w:val="TableGrid"/>
        <w:tblW w:w="0" w:type="auto"/>
        <w:jc w:val="center"/>
        <w:tblLook w:val="04A0" w:firstRow="1" w:lastRow="0" w:firstColumn="1" w:lastColumn="0" w:noHBand="0" w:noVBand="1"/>
      </w:tblPr>
      <w:tblGrid>
        <w:gridCol w:w="9736"/>
      </w:tblGrid>
      <w:tr w:rsidR="00C86537" w14:paraId="2A7ADF1F" w14:textId="77777777">
        <w:trPr>
          <w:jc w:val="center"/>
        </w:trPr>
        <w:tc>
          <w:tcPr>
            <w:tcW w:w="9746" w:type="dxa"/>
            <w:shd w:val="clear" w:color="auto" w:fill="F4F8FC"/>
            <w:tcMar>
              <w:top w:w="100" w:type="dxa"/>
              <w:left w:w="110" w:type="dxa"/>
              <w:bottom w:w="100" w:type="dxa"/>
              <w:right w:w="110" w:type="dxa"/>
            </w:tcMar>
            <w:vAlign w:val="center"/>
          </w:tcPr>
          <w:p w14:paraId="12A3A197" w14:textId="77777777" w:rsidR="00C86537" w:rsidRDefault="00000000">
            <w:r>
              <w:rPr>
                <w:sz w:val="20"/>
              </w:rPr>
              <w:t>Note: This document is intentionally written so it can be used as a professional report even when the final vulnerability list is still being compiled. Replace bracketed placeholders and populate Appendix A with the actual Nessus findings before final submission.</w:t>
            </w:r>
          </w:p>
        </w:tc>
      </w:tr>
    </w:tbl>
    <w:p w14:paraId="46CE63C1" w14:textId="77777777" w:rsidR="00C86537" w:rsidRDefault="00000000">
      <w:r>
        <w:br w:type="page"/>
      </w:r>
    </w:p>
    <w:p w14:paraId="76D5C57E" w14:textId="77777777" w:rsidR="00C86537" w:rsidRDefault="00000000">
      <w:pPr>
        <w:pStyle w:val="Heading1"/>
      </w:pPr>
      <w:r>
        <w:lastRenderedPageBreak/>
        <w:t>Executive Summary</w:t>
      </w:r>
    </w:p>
    <w:p w14:paraId="02065F93" w14:textId="77777777" w:rsidR="00C86537" w:rsidRDefault="00000000">
      <w:pPr>
        <w:spacing w:after="140"/>
      </w:pPr>
      <w:r>
        <w:t>This report presents a structured risk assessment derived from vulnerability information identified through a Nessus scan. The assessment follows a practical sequence: risk identification, risk scoring, risk evaluation against the organization's risk appetite, visualization of exposure through a risk matrix, and selection of appropriate risk treatment techniques.</w:t>
      </w:r>
    </w:p>
    <w:p w14:paraId="498D33FD" w14:textId="77777777" w:rsidR="00C86537" w:rsidRDefault="00000000">
      <w:pPr>
        <w:spacing w:after="140"/>
      </w:pPr>
      <w:r>
        <w:t>The purpose of the assessment is not only to list technical weaknesses, but also to translate those weaknesses into business-relevant risk statements that support remediation planning and management decision-making.</w:t>
      </w:r>
    </w:p>
    <w:p w14:paraId="4910437C" w14:textId="77777777" w:rsidR="00C86537" w:rsidRDefault="00000000">
      <w:pPr>
        <w:spacing w:after="140"/>
      </w:pPr>
      <w:r>
        <w:t>Using Nessus output as the primary technical source, each vulnerability is reviewed and classified by severity, then assessed for exploitability and impact. These factors are combined into a risk score that is subsequently compared with the organization's stated or assumed risk appetite. Findings that exceed acceptable thresholds should be prioritized for treatment, while lower-rated issues may be monitored, accepted, or scheduled for remediation based on operational context.</w:t>
      </w:r>
    </w:p>
    <w:p w14:paraId="0FF9BCF9" w14:textId="77777777" w:rsidR="00C86537" w:rsidRDefault="00000000">
      <w:pPr>
        <w:pStyle w:val="Heading1"/>
      </w:pPr>
      <w:r>
        <w:t>1. Assessment Overview</w:t>
      </w:r>
    </w:p>
    <w:p w14:paraId="7AD35686" w14:textId="77777777" w:rsidR="00C86537" w:rsidRDefault="00000000">
      <w:pPr>
        <w:pStyle w:val="Heading2"/>
      </w:pPr>
      <w:r>
        <w:t>1.1 Objective</w:t>
      </w:r>
    </w:p>
    <w:p w14:paraId="18AB4A1E" w14:textId="77777777" w:rsidR="00C86537" w:rsidRDefault="00000000">
      <w:r>
        <w:t>To assess vulnerabilities identified from the Nessus scan and determine their relative risk to the organization using a defined scoring and evaluation approach.</w:t>
      </w:r>
    </w:p>
    <w:p w14:paraId="7E47290D" w14:textId="77777777" w:rsidR="00C86537" w:rsidRDefault="00000000">
      <w:r>
        <w:t>To prioritize remediation activities based on business impact, exploitability, and alignment with organizational risk appetite.</w:t>
      </w:r>
    </w:p>
    <w:p w14:paraId="0AFED4DB" w14:textId="77777777" w:rsidR="00C86537" w:rsidRDefault="00000000">
      <w:pPr>
        <w:pStyle w:val="Heading2"/>
      </w:pPr>
      <w:r>
        <w:t>1.2 Scope</w:t>
      </w:r>
    </w:p>
    <w:p w14:paraId="6D389638" w14:textId="77777777" w:rsidR="00C86537" w:rsidRDefault="00000000">
      <w:r>
        <w:t>This assessment covers vulnerabilities identified on the assessed assets, systems, applications, or network segments included in the Nessus scan.</w:t>
      </w:r>
    </w:p>
    <w:p w14:paraId="2EE7D92E" w14:textId="77777777" w:rsidR="00C86537" w:rsidRDefault="00000000">
      <w:r>
        <w:t>The analysis focuses on risk arising from discovered technical weaknesses and does not replace broader enterprise risk management, architectural reviews, or compliance audits.</w:t>
      </w:r>
    </w:p>
    <w:p w14:paraId="0F8396DA" w14:textId="77777777" w:rsidR="00C86537" w:rsidRDefault="00000000">
      <w:pPr>
        <w:pStyle w:val="Heading2"/>
      </w:pPr>
      <w:r>
        <w:t>1.3 Method Summary</w:t>
      </w:r>
    </w:p>
    <w:tbl>
      <w:tblPr>
        <w:tblStyle w:val="TableGrid"/>
        <w:tblW w:w="0" w:type="auto"/>
        <w:jc w:val="center"/>
        <w:tblLook w:val="04A0" w:firstRow="1" w:lastRow="0" w:firstColumn="1" w:lastColumn="0" w:noHBand="0" w:noVBand="1"/>
      </w:tblPr>
      <w:tblGrid>
        <w:gridCol w:w="3246"/>
        <w:gridCol w:w="3245"/>
        <w:gridCol w:w="3245"/>
      </w:tblGrid>
      <w:tr w:rsidR="00C86537" w14:paraId="4EE2840C" w14:textId="77777777">
        <w:trPr>
          <w:tblHeader/>
          <w:jc w:val="center"/>
        </w:trPr>
        <w:tc>
          <w:tcPr>
            <w:tcW w:w="3249" w:type="dxa"/>
            <w:shd w:val="clear" w:color="auto" w:fill="355C7D"/>
            <w:tcMar>
              <w:top w:w="100" w:type="dxa"/>
              <w:left w:w="110" w:type="dxa"/>
              <w:bottom w:w="100" w:type="dxa"/>
              <w:right w:w="110" w:type="dxa"/>
            </w:tcMar>
            <w:vAlign w:val="center"/>
          </w:tcPr>
          <w:p w14:paraId="463ED434" w14:textId="77777777" w:rsidR="00C86537" w:rsidRDefault="00000000">
            <w:pPr>
              <w:jc w:val="center"/>
            </w:pPr>
            <w:r>
              <w:rPr>
                <w:b/>
                <w:color w:val="FFFFFF"/>
              </w:rPr>
              <w:t>Stage</w:t>
            </w:r>
          </w:p>
        </w:tc>
        <w:tc>
          <w:tcPr>
            <w:tcW w:w="3249" w:type="dxa"/>
            <w:shd w:val="clear" w:color="auto" w:fill="355C7D"/>
            <w:tcMar>
              <w:top w:w="100" w:type="dxa"/>
              <w:left w:w="110" w:type="dxa"/>
              <w:bottom w:w="100" w:type="dxa"/>
              <w:right w:w="110" w:type="dxa"/>
            </w:tcMar>
            <w:vAlign w:val="center"/>
          </w:tcPr>
          <w:p w14:paraId="735FB2C4" w14:textId="77777777" w:rsidR="00C86537" w:rsidRDefault="00000000">
            <w:pPr>
              <w:jc w:val="center"/>
            </w:pPr>
            <w:r>
              <w:rPr>
                <w:b/>
                <w:color w:val="FFFFFF"/>
              </w:rPr>
              <w:t>Purpose</w:t>
            </w:r>
          </w:p>
        </w:tc>
        <w:tc>
          <w:tcPr>
            <w:tcW w:w="3249" w:type="dxa"/>
            <w:shd w:val="clear" w:color="auto" w:fill="355C7D"/>
            <w:tcMar>
              <w:top w:w="100" w:type="dxa"/>
              <w:left w:w="110" w:type="dxa"/>
              <w:bottom w:w="100" w:type="dxa"/>
              <w:right w:w="110" w:type="dxa"/>
            </w:tcMar>
            <w:vAlign w:val="center"/>
          </w:tcPr>
          <w:p w14:paraId="395A0E47" w14:textId="77777777" w:rsidR="00C86537" w:rsidRDefault="00000000">
            <w:pPr>
              <w:jc w:val="center"/>
            </w:pPr>
            <w:r>
              <w:rPr>
                <w:b/>
                <w:color w:val="FFFFFF"/>
              </w:rPr>
              <w:t>Outcome</w:t>
            </w:r>
          </w:p>
        </w:tc>
      </w:tr>
      <w:tr w:rsidR="00C86537" w14:paraId="43460734" w14:textId="77777777">
        <w:trPr>
          <w:jc w:val="center"/>
        </w:trPr>
        <w:tc>
          <w:tcPr>
            <w:tcW w:w="3249" w:type="dxa"/>
            <w:shd w:val="clear" w:color="auto" w:fill="F2F7FB"/>
          </w:tcPr>
          <w:p w14:paraId="62F09A6C" w14:textId="77777777" w:rsidR="00C86537" w:rsidRDefault="00000000">
            <w:r>
              <w:rPr>
                <w:sz w:val="20"/>
              </w:rPr>
              <w:t>Risk Identification</w:t>
            </w:r>
          </w:p>
        </w:tc>
        <w:tc>
          <w:tcPr>
            <w:tcW w:w="3249" w:type="dxa"/>
            <w:shd w:val="clear" w:color="auto" w:fill="FBFBFB"/>
          </w:tcPr>
          <w:p w14:paraId="436107D0" w14:textId="77777777" w:rsidR="00C86537" w:rsidRDefault="00000000">
            <w:r>
              <w:rPr>
                <w:sz w:val="20"/>
              </w:rPr>
              <w:t>Review Nessus findings and classify vulnerabilities by severity and exposure context.</w:t>
            </w:r>
          </w:p>
        </w:tc>
        <w:tc>
          <w:tcPr>
            <w:tcW w:w="3249" w:type="dxa"/>
            <w:shd w:val="clear" w:color="auto" w:fill="FBFBFB"/>
          </w:tcPr>
          <w:p w14:paraId="7C758396" w14:textId="77777777" w:rsidR="00C86537" w:rsidRDefault="00000000">
            <w:r>
              <w:rPr>
                <w:sz w:val="20"/>
              </w:rPr>
              <w:t>Initial risk register</w:t>
            </w:r>
          </w:p>
        </w:tc>
      </w:tr>
      <w:tr w:rsidR="00C86537" w14:paraId="6043A74D" w14:textId="77777777">
        <w:trPr>
          <w:jc w:val="center"/>
        </w:trPr>
        <w:tc>
          <w:tcPr>
            <w:tcW w:w="3249" w:type="dxa"/>
            <w:shd w:val="clear" w:color="auto" w:fill="F2F7FB"/>
          </w:tcPr>
          <w:p w14:paraId="708F3D84" w14:textId="77777777" w:rsidR="00C86537" w:rsidRDefault="00000000">
            <w:r>
              <w:rPr>
                <w:sz w:val="20"/>
              </w:rPr>
              <w:t>Risk Scoring</w:t>
            </w:r>
          </w:p>
        </w:tc>
        <w:tc>
          <w:tcPr>
            <w:tcW w:w="3249" w:type="dxa"/>
            <w:shd w:val="clear" w:color="auto" w:fill="FBFBFB"/>
          </w:tcPr>
          <w:p w14:paraId="4237D2CF" w14:textId="77777777" w:rsidR="00C86537" w:rsidRDefault="00000000">
            <w:r>
              <w:rPr>
                <w:sz w:val="20"/>
              </w:rPr>
              <w:t>Rate exploitability and impact for each finding.</w:t>
            </w:r>
          </w:p>
        </w:tc>
        <w:tc>
          <w:tcPr>
            <w:tcW w:w="3249" w:type="dxa"/>
            <w:shd w:val="clear" w:color="auto" w:fill="FBFBFB"/>
          </w:tcPr>
          <w:p w14:paraId="729F31BA" w14:textId="77777777" w:rsidR="00C86537" w:rsidRDefault="00000000">
            <w:r>
              <w:rPr>
                <w:sz w:val="20"/>
              </w:rPr>
              <w:t>Comparable risk scores</w:t>
            </w:r>
          </w:p>
        </w:tc>
      </w:tr>
      <w:tr w:rsidR="00C86537" w14:paraId="20933CD1" w14:textId="77777777">
        <w:trPr>
          <w:jc w:val="center"/>
        </w:trPr>
        <w:tc>
          <w:tcPr>
            <w:tcW w:w="3249" w:type="dxa"/>
            <w:shd w:val="clear" w:color="auto" w:fill="F2F7FB"/>
          </w:tcPr>
          <w:p w14:paraId="1E762332" w14:textId="77777777" w:rsidR="00C86537" w:rsidRDefault="00000000">
            <w:r>
              <w:rPr>
                <w:sz w:val="20"/>
              </w:rPr>
              <w:t>Risk Evaluation</w:t>
            </w:r>
          </w:p>
        </w:tc>
        <w:tc>
          <w:tcPr>
            <w:tcW w:w="3249" w:type="dxa"/>
            <w:shd w:val="clear" w:color="auto" w:fill="FBFBFB"/>
          </w:tcPr>
          <w:p w14:paraId="3530F00F" w14:textId="77777777" w:rsidR="00C86537" w:rsidRDefault="00000000">
            <w:r>
              <w:rPr>
                <w:sz w:val="20"/>
              </w:rPr>
              <w:t>Compare scores to the organization's risk appetite.</w:t>
            </w:r>
          </w:p>
        </w:tc>
        <w:tc>
          <w:tcPr>
            <w:tcW w:w="3249" w:type="dxa"/>
            <w:shd w:val="clear" w:color="auto" w:fill="FBFBFB"/>
          </w:tcPr>
          <w:p w14:paraId="31764073" w14:textId="77777777" w:rsidR="00C86537" w:rsidRDefault="00000000">
            <w:r>
              <w:rPr>
                <w:sz w:val="20"/>
              </w:rPr>
              <w:t>Priority decisions</w:t>
            </w:r>
          </w:p>
        </w:tc>
      </w:tr>
      <w:tr w:rsidR="00C86537" w14:paraId="40D94F8D" w14:textId="77777777">
        <w:trPr>
          <w:jc w:val="center"/>
        </w:trPr>
        <w:tc>
          <w:tcPr>
            <w:tcW w:w="3249" w:type="dxa"/>
            <w:shd w:val="clear" w:color="auto" w:fill="F2F7FB"/>
          </w:tcPr>
          <w:p w14:paraId="4B90EAE0" w14:textId="77777777" w:rsidR="00C86537" w:rsidRDefault="00000000">
            <w:r>
              <w:rPr>
                <w:sz w:val="20"/>
              </w:rPr>
              <w:t>Risk Matrix Plotting</w:t>
            </w:r>
          </w:p>
        </w:tc>
        <w:tc>
          <w:tcPr>
            <w:tcW w:w="3249" w:type="dxa"/>
            <w:shd w:val="clear" w:color="auto" w:fill="FBFBFB"/>
          </w:tcPr>
          <w:p w14:paraId="118F821F" w14:textId="77777777" w:rsidR="00C86537" w:rsidRDefault="00000000">
            <w:r>
              <w:rPr>
                <w:sz w:val="20"/>
              </w:rPr>
              <w:t>Position findings on a heat map using probability and impact.</w:t>
            </w:r>
          </w:p>
        </w:tc>
        <w:tc>
          <w:tcPr>
            <w:tcW w:w="3249" w:type="dxa"/>
            <w:shd w:val="clear" w:color="auto" w:fill="FBFBFB"/>
          </w:tcPr>
          <w:p w14:paraId="497FA492" w14:textId="77777777" w:rsidR="00C86537" w:rsidRDefault="00000000">
            <w:r>
              <w:rPr>
                <w:sz w:val="20"/>
              </w:rPr>
              <w:t>Visual prioritization</w:t>
            </w:r>
          </w:p>
        </w:tc>
      </w:tr>
      <w:tr w:rsidR="00C86537" w14:paraId="20C78D74" w14:textId="77777777">
        <w:trPr>
          <w:jc w:val="center"/>
        </w:trPr>
        <w:tc>
          <w:tcPr>
            <w:tcW w:w="3249" w:type="dxa"/>
            <w:shd w:val="clear" w:color="auto" w:fill="F2F7FB"/>
          </w:tcPr>
          <w:p w14:paraId="6BCDBE3E" w14:textId="77777777" w:rsidR="00C86537" w:rsidRDefault="00000000">
            <w:r>
              <w:rPr>
                <w:sz w:val="20"/>
              </w:rPr>
              <w:t>Risk Treatment</w:t>
            </w:r>
          </w:p>
        </w:tc>
        <w:tc>
          <w:tcPr>
            <w:tcW w:w="3249" w:type="dxa"/>
            <w:shd w:val="clear" w:color="auto" w:fill="FBFBFB"/>
          </w:tcPr>
          <w:p w14:paraId="4F08518D" w14:textId="77777777" w:rsidR="00C86537" w:rsidRDefault="00000000">
            <w:r>
              <w:rPr>
                <w:sz w:val="20"/>
              </w:rPr>
              <w:t>Select the most suitable response for each risk.</w:t>
            </w:r>
          </w:p>
        </w:tc>
        <w:tc>
          <w:tcPr>
            <w:tcW w:w="3249" w:type="dxa"/>
            <w:shd w:val="clear" w:color="auto" w:fill="FBFBFB"/>
          </w:tcPr>
          <w:p w14:paraId="0D2D5FF9" w14:textId="77777777" w:rsidR="00C86537" w:rsidRDefault="00000000">
            <w:r>
              <w:rPr>
                <w:sz w:val="20"/>
              </w:rPr>
              <w:t>Remediation plan</w:t>
            </w:r>
          </w:p>
        </w:tc>
      </w:tr>
    </w:tbl>
    <w:p w14:paraId="228A653F" w14:textId="77777777" w:rsidR="00C86537" w:rsidRDefault="00000000">
      <w:pPr>
        <w:pStyle w:val="Heading1"/>
      </w:pPr>
      <w:r>
        <w:lastRenderedPageBreak/>
        <w:t>2. Risk Identification</w:t>
      </w:r>
    </w:p>
    <w:p w14:paraId="325AEE04" w14:textId="77777777" w:rsidR="00C86537" w:rsidRDefault="00000000">
      <w:pPr>
        <w:spacing w:after="140"/>
      </w:pPr>
      <w:r>
        <w:t>Risk identification began with the review of the Nessus scan results to determine the vulnerabilities present in the environment and their associated severity ratings. Nessus classifications such as Critical, High, Medium, and Low provide an initial indication of technical seriousness, but they do not by themselves represent full organizational risk.</w:t>
      </w:r>
    </w:p>
    <w:p w14:paraId="6569D7E8" w14:textId="77777777" w:rsidR="00C86537" w:rsidRDefault="00000000">
      <w:pPr>
        <w:spacing w:after="140"/>
      </w:pPr>
      <w:r>
        <w:t>Each vulnerability should therefore be translated into a risk statement that reflects the affected asset, the weakness identified, and the potential adverse outcome if the weakness is exploited. This step helps move the analysis from technical findings to business-relevant risk understanding.</w:t>
      </w:r>
    </w:p>
    <w:p w14:paraId="288CD1EC" w14:textId="77777777" w:rsidR="00C86537" w:rsidRDefault="00000000">
      <w:pPr>
        <w:spacing w:after="140"/>
      </w:pPr>
      <w:r>
        <w:t>Where appropriate, validation can be performed to confirm whether a detected issue is exploitable in the assessed environment, whether compensating controls exist, and whether the affected asset is business-critical.</w:t>
      </w:r>
    </w:p>
    <w:tbl>
      <w:tblPr>
        <w:tblStyle w:val="TableGrid"/>
        <w:tblW w:w="0" w:type="auto"/>
        <w:jc w:val="center"/>
        <w:tblLook w:val="04A0" w:firstRow="1" w:lastRow="0" w:firstColumn="1" w:lastColumn="0" w:noHBand="0" w:noVBand="1"/>
      </w:tblPr>
      <w:tblGrid>
        <w:gridCol w:w="3245"/>
        <w:gridCol w:w="3246"/>
        <w:gridCol w:w="3245"/>
      </w:tblGrid>
      <w:tr w:rsidR="00C86537" w14:paraId="07096126" w14:textId="77777777">
        <w:trPr>
          <w:tblHeader/>
          <w:jc w:val="center"/>
        </w:trPr>
        <w:tc>
          <w:tcPr>
            <w:tcW w:w="3249" w:type="dxa"/>
            <w:shd w:val="clear" w:color="auto" w:fill="355C7D"/>
            <w:tcMar>
              <w:top w:w="100" w:type="dxa"/>
              <w:left w:w="110" w:type="dxa"/>
              <w:bottom w:w="100" w:type="dxa"/>
              <w:right w:w="110" w:type="dxa"/>
            </w:tcMar>
            <w:vAlign w:val="center"/>
          </w:tcPr>
          <w:p w14:paraId="3D5E2121" w14:textId="77777777" w:rsidR="00C86537" w:rsidRDefault="00000000">
            <w:pPr>
              <w:jc w:val="center"/>
            </w:pPr>
            <w:r>
              <w:rPr>
                <w:b/>
                <w:color w:val="FFFFFF"/>
              </w:rPr>
              <w:t>Severity</w:t>
            </w:r>
          </w:p>
        </w:tc>
        <w:tc>
          <w:tcPr>
            <w:tcW w:w="3249" w:type="dxa"/>
            <w:shd w:val="clear" w:color="auto" w:fill="355C7D"/>
            <w:tcMar>
              <w:top w:w="100" w:type="dxa"/>
              <w:left w:w="110" w:type="dxa"/>
              <w:bottom w:w="100" w:type="dxa"/>
              <w:right w:w="110" w:type="dxa"/>
            </w:tcMar>
            <w:vAlign w:val="center"/>
          </w:tcPr>
          <w:p w14:paraId="5F29B306" w14:textId="77777777" w:rsidR="00C86537" w:rsidRDefault="00000000">
            <w:pPr>
              <w:jc w:val="center"/>
            </w:pPr>
            <w:r>
              <w:rPr>
                <w:b/>
                <w:color w:val="FFFFFF"/>
              </w:rPr>
              <w:t>Interpretation</w:t>
            </w:r>
          </w:p>
        </w:tc>
        <w:tc>
          <w:tcPr>
            <w:tcW w:w="3249" w:type="dxa"/>
            <w:shd w:val="clear" w:color="auto" w:fill="355C7D"/>
            <w:tcMar>
              <w:top w:w="100" w:type="dxa"/>
              <w:left w:w="110" w:type="dxa"/>
              <w:bottom w:w="100" w:type="dxa"/>
              <w:right w:w="110" w:type="dxa"/>
            </w:tcMar>
            <w:vAlign w:val="center"/>
          </w:tcPr>
          <w:p w14:paraId="5DC5C452" w14:textId="77777777" w:rsidR="00C86537" w:rsidRDefault="00000000">
            <w:pPr>
              <w:jc w:val="center"/>
            </w:pPr>
            <w:r>
              <w:rPr>
                <w:b/>
                <w:color w:val="FFFFFF"/>
              </w:rPr>
              <w:t>Typical Priority</w:t>
            </w:r>
          </w:p>
        </w:tc>
      </w:tr>
      <w:tr w:rsidR="00C86537" w14:paraId="47A17814" w14:textId="77777777">
        <w:trPr>
          <w:jc w:val="center"/>
        </w:trPr>
        <w:tc>
          <w:tcPr>
            <w:tcW w:w="3249" w:type="dxa"/>
            <w:shd w:val="clear" w:color="auto" w:fill="FCE8E6"/>
          </w:tcPr>
          <w:p w14:paraId="0DE09CBD" w14:textId="77777777" w:rsidR="00C86537" w:rsidRDefault="00000000">
            <w:r>
              <w:rPr>
                <w:sz w:val="20"/>
              </w:rPr>
              <w:t>Critical</w:t>
            </w:r>
          </w:p>
        </w:tc>
        <w:tc>
          <w:tcPr>
            <w:tcW w:w="3249" w:type="dxa"/>
            <w:shd w:val="clear" w:color="auto" w:fill="FBFBFB"/>
          </w:tcPr>
          <w:p w14:paraId="7CE9BF65" w14:textId="77777777" w:rsidR="00C86537" w:rsidRDefault="00000000">
            <w:r>
              <w:rPr>
                <w:sz w:val="20"/>
              </w:rPr>
              <w:t>Very severe weakness that may lead to immediate compromise, service disruption, or unauthorized access.</w:t>
            </w:r>
          </w:p>
        </w:tc>
        <w:tc>
          <w:tcPr>
            <w:tcW w:w="3249" w:type="dxa"/>
            <w:shd w:val="clear" w:color="auto" w:fill="FBFBFB"/>
          </w:tcPr>
          <w:p w14:paraId="2E60837F" w14:textId="77777777" w:rsidR="00C86537" w:rsidRDefault="00000000">
            <w:r>
              <w:rPr>
                <w:sz w:val="20"/>
              </w:rPr>
              <w:t>Immediate action</w:t>
            </w:r>
          </w:p>
        </w:tc>
      </w:tr>
      <w:tr w:rsidR="00C86537" w14:paraId="4F8A905F" w14:textId="77777777">
        <w:trPr>
          <w:jc w:val="center"/>
        </w:trPr>
        <w:tc>
          <w:tcPr>
            <w:tcW w:w="3249" w:type="dxa"/>
            <w:shd w:val="clear" w:color="auto" w:fill="FFF3E0"/>
          </w:tcPr>
          <w:p w14:paraId="1888620C" w14:textId="77777777" w:rsidR="00C86537" w:rsidRDefault="00000000">
            <w:r>
              <w:rPr>
                <w:sz w:val="20"/>
              </w:rPr>
              <w:t>High</w:t>
            </w:r>
          </w:p>
        </w:tc>
        <w:tc>
          <w:tcPr>
            <w:tcW w:w="3249" w:type="dxa"/>
            <w:shd w:val="clear" w:color="auto" w:fill="FBFBFB"/>
          </w:tcPr>
          <w:p w14:paraId="4326247A" w14:textId="77777777" w:rsidR="00C86537" w:rsidRDefault="00000000">
            <w:r>
              <w:rPr>
                <w:sz w:val="20"/>
              </w:rPr>
              <w:t>Serious weakness with strong exploitation potential or significant impact if exploited.</w:t>
            </w:r>
          </w:p>
        </w:tc>
        <w:tc>
          <w:tcPr>
            <w:tcW w:w="3249" w:type="dxa"/>
            <w:shd w:val="clear" w:color="auto" w:fill="FBFBFB"/>
          </w:tcPr>
          <w:p w14:paraId="2952260D" w14:textId="77777777" w:rsidR="00C86537" w:rsidRDefault="00000000">
            <w:r>
              <w:rPr>
                <w:sz w:val="20"/>
              </w:rPr>
              <w:t>Urgent remediation</w:t>
            </w:r>
          </w:p>
        </w:tc>
      </w:tr>
      <w:tr w:rsidR="00C86537" w14:paraId="693A0413" w14:textId="77777777">
        <w:trPr>
          <w:jc w:val="center"/>
        </w:trPr>
        <w:tc>
          <w:tcPr>
            <w:tcW w:w="3249" w:type="dxa"/>
            <w:shd w:val="clear" w:color="auto" w:fill="FFFBEA"/>
          </w:tcPr>
          <w:p w14:paraId="11D16993" w14:textId="77777777" w:rsidR="00C86537" w:rsidRDefault="00000000">
            <w:r>
              <w:rPr>
                <w:sz w:val="20"/>
              </w:rPr>
              <w:t>Medium</w:t>
            </w:r>
          </w:p>
        </w:tc>
        <w:tc>
          <w:tcPr>
            <w:tcW w:w="3249" w:type="dxa"/>
            <w:shd w:val="clear" w:color="auto" w:fill="FBFBFB"/>
          </w:tcPr>
          <w:p w14:paraId="29CBF6CF" w14:textId="77777777" w:rsidR="00C86537" w:rsidRDefault="00000000">
            <w:r>
              <w:rPr>
                <w:sz w:val="20"/>
              </w:rPr>
              <w:t>Moderate weakness that should be addressed in a planned remediation cycle.</w:t>
            </w:r>
          </w:p>
        </w:tc>
        <w:tc>
          <w:tcPr>
            <w:tcW w:w="3249" w:type="dxa"/>
            <w:shd w:val="clear" w:color="auto" w:fill="FBFBFB"/>
          </w:tcPr>
          <w:p w14:paraId="10C824D7" w14:textId="77777777" w:rsidR="00C86537" w:rsidRDefault="00000000">
            <w:r>
              <w:rPr>
                <w:sz w:val="20"/>
              </w:rPr>
              <w:t>Scheduled remediation</w:t>
            </w:r>
          </w:p>
        </w:tc>
      </w:tr>
      <w:tr w:rsidR="00C86537" w14:paraId="2158445B" w14:textId="77777777">
        <w:trPr>
          <w:jc w:val="center"/>
        </w:trPr>
        <w:tc>
          <w:tcPr>
            <w:tcW w:w="3249" w:type="dxa"/>
            <w:shd w:val="clear" w:color="auto" w:fill="EDF7ED"/>
          </w:tcPr>
          <w:p w14:paraId="71BB410A" w14:textId="77777777" w:rsidR="00C86537" w:rsidRDefault="00000000">
            <w:r>
              <w:rPr>
                <w:sz w:val="20"/>
              </w:rPr>
              <w:t>Low</w:t>
            </w:r>
          </w:p>
        </w:tc>
        <w:tc>
          <w:tcPr>
            <w:tcW w:w="3249" w:type="dxa"/>
            <w:shd w:val="clear" w:color="auto" w:fill="FBFBFB"/>
          </w:tcPr>
          <w:p w14:paraId="37BB0B4E" w14:textId="77777777" w:rsidR="00C86537" w:rsidRDefault="00000000">
            <w:r>
              <w:rPr>
                <w:sz w:val="20"/>
              </w:rPr>
              <w:t>Limited impact or exploitability, though still relevant for hygiene and hardening.</w:t>
            </w:r>
          </w:p>
        </w:tc>
        <w:tc>
          <w:tcPr>
            <w:tcW w:w="3249" w:type="dxa"/>
            <w:shd w:val="clear" w:color="auto" w:fill="FBFBFB"/>
          </w:tcPr>
          <w:p w14:paraId="1DAD6DC1" w14:textId="77777777" w:rsidR="00C86537" w:rsidRDefault="00000000">
            <w:r>
              <w:rPr>
                <w:sz w:val="20"/>
              </w:rPr>
              <w:t>Monitor or remediate as resources permit</w:t>
            </w:r>
          </w:p>
        </w:tc>
      </w:tr>
    </w:tbl>
    <w:p w14:paraId="52431639" w14:textId="77777777" w:rsidR="00C86537" w:rsidRDefault="00000000">
      <w:pPr>
        <w:pStyle w:val="Heading1"/>
      </w:pPr>
      <w:r>
        <w:t>3. Risk Scoring Methodology</w:t>
      </w:r>
    </w:p>
    <w:p w14:paraId="72B86744" w14:textId="77777777" w:rsidR="00C86537" w:rsidRDefault="00000000">
      <w:pPr>
        <w:spacing w:after="140"/>
      </w:pPr>
      <w:r>
        <w:t>After identification, each vulnerability is scored by considering two core dimensions: exploitability and impact. This approach ensures that the final score reflects both the likelihood of a successful attack and the consequence to the organization if exploitation occurs.</w:t>
      </w:r>
    </w:p>
    <w:p w14:paraId="275E7E63" w14:textId="77777777" w:rsidR="00C86537" w:rsidRDefault="00000000">
      <w:pPr>
        <w:spacing w:after="140"/>
      </w:pPr>
      <w:r>
        <w:t>For practical use, exploitability and impact may be rated on a three-point scale: Low = 1, Medium = 2, and High = 3. The overall risk score can then be determined by adding both values.</w:t>
      </w:r>
    </w:p>
    <w:tbl>
      <w:tblPr>
        <w:tblStyle w:val="TableGrid"/>
        <w:tblW w:w="0" w:type="auto"/>
        <w:jc w:val="center"/>
        <w:tblLook w:val="04A0" w:firstRow="1" w:lastRow="0" w:firstColumn="1" w:lastColumn="0" w:noHBand="0" w:noVBand="1"/>
      </w:tblPr>
      <w:tblGrid>
        <w:gridCol w:w="2434"/>
        <w:gridCol w:w="2434"/>
        <w:gridCol w:w="2434"/>
        <w:gridCol w:w="2434"/>
      </w:tblGrid>
      <w:tr w:rsidR="00C86537" w14:paraId="435E8904" w14:textId="77777777">
        <w:trPr>
          <w:tblHeader/>
          <w:jc w:val="center"/>
        </w:trPr>
        <w:tc>
          <w:tcPr>
            <w:tcW w:w="2436" w:type="dxa"/>
            <w:shd w:val="clear" w:color="auto" w:fill="355C7D"/>
            <w:tcMar>
              <w:top w:w="100" w:type="dxa"/>
              <w:left w:w="110" w:type="dxa"/>
              <w:bottom w:w="100" w:type="dxa"/>
              <w:right w:w="110" w:type="dxa"/>
            </w:tcMar>
            <w:vAlign w:val="center"/>
          </w:tcPr>
          <w:p w14:paraId="6F2357FB" w14:textId="77777777" w:rsidR="00C86537" w:rsidRDefault="00000000">
            <w:pPr>
              <w:jc w:val="center"/>
            </w:pPr>
            <w:r>
              <w:rPr>
                <w:b/>
                <w:color w:val="FFFFFF"/>
              </w:rPr>
              <w:t>Factor</w:t>
            </w:r>
          </w:p>
        </w:tc>
        <w:tc>
          <w:tcPr>
            <w:tcW w:w="2436" w:type="dxa"/>
            <w:shd w:val="clear" w:color="auto" w:fill="355C7D"/>
            <w:tcMar>
              <w:top w:w="100" w:type="dxa"/>
              <w:left w:w="110" w:type="dxa"/>
              <w:bottom w:w="100" w:type="dxa"/>
              <w:right w:w="110" w:type="dxa"/>
            </w:tcMar>
            <w:vAlign w:val="center"/>
          </w:tcPr>
          <w:p w14:paraId="39F324FB" w14:textId="77777777" w:rsidR="00C86537" w:rsidRDefault="00000000">
            <w:pPr>
              <w:jc w:val="center"/>
            </w:pPr>
            <w:r>
              <w:rPr>
                <w:b/>
                <w:color w:val="FFFFFF"/>
              </w:rPr>
              <w:t>Low (1)</w:t>
            </w:r>
          </w:p>
        </w:tc>
        <w:tc>
          <w:tcPr>
            <w:tcW w:w="2436" w:type="dxa"/>
            <w:shd w:val="clear" w:color="auto" w:fill="355C7D"/>
            <w:tcMar>
              <w:top w:w="100" w:type="dxa"/>
              <w:left w:w="110" w:type="dxa"/>
              <w:bottom w:w="100" w:type="dxa"/>
              <w:right w:w="110" w:type="dxa"/>
            </w:tcMar>
            <w:vAlign w:val="center"/>
          </w:tcPr>
          <w:p w14:paraId="3FDE8122" w14:textId="77777777" w:rsidR="00C86537" w:rsidRDefault="00000000">
            <w:pPr>
              <w:jc w:val="center"/>
            </w:pPr>
            <w:r>
              <w:rPr>
                <w:b/>
                <w:color w:val="FFFFFF"/>
              </w:rPr>
              <w:t>Medium (2)</w:t>
            </w:r>
          </w:p>
        </w:tc>
        <w:tc>
          <w:tcPr>
            <w:tcW w:w="2436" w:type="dxa"/>
            <w:shd w:val="clear" w:color="auto" w:fill="355C7D"/>
            <w:tcMar>
              <w:top w:w="100" w:type="dxa"/>
              <w:left w:w="110" w:type="dxa"/>
              <w:bottom w:w="100" w:type="dxa"/>
              <w:right w:w="110" w:type="dxa"/>
            </w:tcMar>
            <w:vAlign w:val="center"/>
          </w:tcPr>
          <w:p w14:paraId="560CC7EC" w14:textId="77777777" w:rsidR="00C86537" w:rsidRDefault="00000000">
            <w:pPr>
              <w:jc w:val="center"/>
            </w:pPr>
            <w:r>
              <w:rPr>
                <w:b/>
                <w:color w:val="FFFFFF"/>
              </w:rPr>
              <w:t>High (3)</w:t>
            </w:r>
          </w:p>
        </w:tc>
      </w:tr>
      <w:tr w:rsidR="00C86537" w14:paraId="0903450D" w14:textId="77777777">
        <w:trPr>
          <w:jc w:val="center"/>
        </w:trPr>
        <w:tc>
          <w:tcPr>
            <w:tcW w:w="2436" w:type="dxa"/>
            <w:shd w:val="clear" w:color="auto" w:fill="F2F7FB"/>
          </w:tcPr>
          <w:p w14:paraId="1CBB47F4" w14:textId="77777777" w:rsidR="00C86537" w:rsidRDefault="00000000">
            <w:r>
              <w:rPr>
                <w:sz w:val="20"/>
              </w:rPr>
              <w:t>Exploitability</w:t>
            </w:r>
          </w:p>
        </w:tc>
        <w:tc>
          <w:tcPr>
            <w:tcW w:w="2436" w:type="dxa"/>
            <w:shd w:val="clear" w:color="auto" w:fill="FBFBFB"/>
          </w:tcPr>
          <w:p w14:paraId="57C42BE3" w14:textId="77777777" w:rsidR="00C86537" w:rsidRDefault="00000000">
            <w:r>
              <w:rPr>
                <w:sz w:val="20"/>
              </w:rPr>
              <w:t>Exploit is difficult, requires rare conditions or strong attacker capability.</w:t>
            </w:r>
          </w:p>
        </w:tc>
        <w:tc>
          <w:tcPr>
            <w:tcW w:w="2436" w:type="dxa"/>
            <w:shd w:val="clear" w:color="auto" w:fill="FBFBFB"/>
          </w:tcPr>
          <w:p w14:paraId="1BD491E9" w14:textId="77777777" w:rsidR="00C86537" w:rsidRDefault="00000000">
            <w:r>
              <w:rPr>
                <w:sz w:val="20"/>
              </w:rPr>
              <w:t>Exploit is possible with moderate effort or partial access.</w:t>
            </w:r>
          </w:p>
        </w:tc>
        <w:tc>
          <w:tcPr>
            <w:tcW w:w="2436" w:type="dxa"/>
            <w:shd w:val="clear" w:color="auto" w:fill="FBFBFB"/>
          </w:tcPr>
          <w:p w14:paraId="44EE6771" w14:textId="77777777" w:rsidR="00C86537" w:rsidRDefault="00000000">
            <w:r>
              <w:rPr>
                <w:sz w:val="20"/>
              </w:rPr>
              <w:t>Exploit is straightforward, publicly documented, or readily weaponized.</w:t>
            </w:r>
          </w:p>
        </w:tc>
      </w:tr>
      <w:tr w:rsidR="00C86537" w14:paraId="7BE048A8" w14:textId="77777777">
        <w:trPr>
          <w:jc w:val="center"/>
        </w:trPr>
        <w:tc>
          <w:tcPr>
            <w:tcW w:w="2436" w:type="dxa"/>
            <w:shd w:val="clear" w:color="auto" w:fill="F2F7FB"/>
          </w:tcPr>
          <w:p w14:paraId="5D7CC5E2" w14:textId="77777777" w:rsidR="00C86537" w:rsidRDefault="00000000">
            <w:r>
              <w:rPr>
                <w:sz w:val="20"/>
              </w:rPr>
              <w:t>Impact</w:t>
            </w:r>
          </w:p>
        </w:tc>
        <w:tc>
          <w:tcPr>
            <w:tcW w:w="2436" w:type="dxa"/>
            <w:shd w:val="clear" w:color="auto" w:fill="FBFBFB"/>
          </w:tcPr>
          <w:p w14:paraId="16C057DB" w14:textId="77777777" w:rsidR="00C86537" w:rsidRDefault="00000000">
            <w:r>
              <w:rPr>
                <w:sz w:val="20"/>
              </w:rPr>
              <w:t>Minor operational effect or limited business consequence.</w:t>
            </w:r>
          </w:p>
        </w:tc>
        <w:tc>
          <w:tcPr>
            <w:tcW w:w="2436" w:type="dxa"/>
            <w:shd w:val="clear" w:color="auto" w:fill="FBFBFB"/>
          </w:tcPr>
          <w:p w14:paraId="6BF71D7C" w14:textId="77777777" w:rsidR="00C86537" w:rsidRDefault="00000000">
            <w:r>
              <w:rPr>
                <w:sz w:val="20"/>
              </w:rPr>
              <w:t>Noticeable service, integrity, or confidentiality impact.</w:t>
            </w:r>
          </w:p>
        </w:tc>
        <w:tc>
          <w:tcPr>
            <w:tcW w:w="2436" w:type="dxa"/>
            <w:shd w:val="clear" w:color="auto" w:fill="FBFBFB"/>
          </w:tcPr>
          <w:p w14:paraId="02330F58" w14:textId="77777777" w:rsidR="00C86537" w:rsidRDefault="00000000">
            <w:r>
              <w:rPr>
                <w:sz w:val="20"/>
              </w:rPr>
              <w:t>Major business disruption, sensitive data exposure, or compromise of critical assets.</w:t>
            </w:r>
          </w:p>
        </w:tc>
      </w:tr>
      <w:tr w:rsidR="00954015" w14:paraId="572A36FB" w14:textId="77777777">
        <w:trPr>
          <w:jc w:val="center"/>
        </w:trPr>
        <w:tc>
          <w:tcPr>
            <w:tcW w:w="2436" w:type="dxa"/>
            <w:shd w:val="clear" w:color="auto" w:fill="F2F7FB"/>
          </w:tcPr>
          <w:p w14:paraId="0F2B24D4" w14:textId="77777777" w:rsidR="00954015" w:rsidRDefault="00954015">
            <w:pPr>
              <w:rPr>
                <w:sz w:val="20"/>
              </w:rPr>
            </w:pPr>
          </w:p>
        </w:tc>
        <w:tc>
          <w:tcPr>
            <w:tcW w:w="2436" w:type="dxa"/>
            <w:shd w:val="clear" w:color="auto" w:fill="FBFBFB"/>
          </w:tcPr>
          <w:p w14:paraId="05307F88" w14:textId="77777777" w:rsidR="00954015" w:rsidRDefault="00954015">
            <w:pPr>
              <w:rPr>
                <w:sz w:val="20"/>
              </w:rPr>
            </w:pPr>
          </w:p>
        </w:tc>
        <w:tc>
          <w:tcPr>
            <w:tcW w:w="2436" w:type="dxa"/>
            <w:shd w:val="clear" w:color="auto" w:fill="FBFBFB"/>
          </w:tcPr>
          <w:p w14:paraId="309945D2" w14:textId="77777777" w:rsidR="00954015" w:rsidRDefault="00954015">
            <w:pPr>
              <w:rPr>
                <w:sz w:val="20"/>
              </w:rPr>
            </w:pPr>
          </w:p>
        </w:tc>
        <w:tc>
          <w:tcPr>
            <w:tcW w:w="2436" w:type="dxa"/>
            <w:shd w:val="clear" w:color="auto" w:fill="FBFBFB"/>
          </w:tcPr>
          <w:p w14:paraId="031852B9" w14:textId="77777777" w:rsidR="00954015" w:rsidRDefault="00954015">
            <w:pPr>
              <w:rPr>
                <w:sz w:val="20"/>
              </w:rPr>
            </w:pPr>
          </w:p>
        </w:tc>
      </w:tr>
    </w:tbl>
    <w:p w14:paraId="66503CE2" w14:textId="77777777" w:rsidR="00C86537" w:rsidRDefault="00000000">
      <w:r>
        <w:t>Risk Score Formula: Risk Score = Exploitability + Impact</w:t>
      </w:r>
    </w:p>
    <w:tbl>
      <w:tblPr>
        <w:tblStyle w:val="TableGrid"/>
        <w:tblW w:w="0" w:type="auto"/>
        <w:jc w:val="center"/>
        <w:tblLook w:val="04A0" w:firstRow="1" w:lastRow="0" w:firstColumn="1" w:lastColumn="0" w:noHBand="0" w:noVBand="1"/>
      </w:tblPr>
      <w:tblGrid>
        <w:gridCol w:w="4868"/>
        <w:gridCol w:w="4868"/>
      </w:tblGrid>
      <w:tr w:rsidR="00C86537" w14:paraId="259F5A33" w14:textId="77777777">
        <w:trPr>
          <w:tblHeader/>
          <w:jc w:val="center"/>
        </w:trPr>
        <w:tc>
          <w:tcPr>
            <w:tcW w:w="4873" w:type="dxa"/>
            <w:shd w:val="clear" w:color="auto" w:fill="355C7D"/>
            <w:tcMar>
              <w:top w:w="100" w:type="dxa"/>
              <w:left w:w="110" w:type="dxa"/>
              <w:bottom w:w="100" w:type="dxa"/>
              <w:right w:w="110" w:type="dxa"/>
            </w:tcMar>
            <w:vAlign w:val="center"/>
          </w:tcPr>
          <w:p w14:paraId="2F3C9194" w14:textId="77777777" w:rsidR="00C86537" w:rsidRDefault="00000000">
            <w:pPr>
              <w:jc w:val="center"/>
            </w:pPr>
            <w:r>
              <w:rPr>
                <w:b/>
                <w:color w:val="FFFFFF"/>
              </w:rPr>
              <w:lastRenderedPageBreak/>
              <w:t>Score Range</w:t>
            </w:r>
          </w:p>
        </w:tc>
        <w:tc>
          <w:tcPr>
            <w:tcW w:w="4873" w:type="dxa"/>
            <w:shd w:val="clear" w:color="auto" w:fill="355C7D"/>
            <w:tcMar>
              <w:top w:w="100" w:type="dxa"/>
              <w:left w:w="110" w:type="dxa"/>
              <w:bottom w:w="100" w:type="dxa"/>
              <w:right w:w="110" w:type="dxa"/>
            </w:tcMar>
            <w:vAlign w:val="center"/>
          </w:tcPr>
          <w:p w14:paraId="41A9AEAF" w14:textId="77777777" w:rsidR="00C86537" w:rsidRDefault="00000000">
            <w:pPr>
              <w:jc w:val="center"/>
            </w:pPr>
            <w:r>
              <w:rPr>
                <w:b/>
                <w:color w:val="FFFFFF"/>
              </w:rPr>
              <w:t>Risk Rating</w:t>
            </w:r>
          </w:p>
        </w:tc>
      </w:tr>
      <w:tr w:rsidR="00C86537" w14:paraId="60C8A82A" w14:textId="77777777">
        <w:trPr>
          <w:jc w:val="center"/>
        </w:trPr>
        <w:tc>
          <w:tcPr>
            <w:tcW w:w="4873" w:type="dxa"/>
            <w:shd w:val="clear" w:color="auto" w:fill="FBFBFB"/>
          </w:tcPr>
          <w:p w14:paraId="6D541C35" w14:textId="77777777" w:rsidR="00C86537" w:rsidRDefault="00000000">
            <w:pPr>
              <w:jc w:val="center"/>
            </w:pPr>
            <w:r>
              <w:t>2</w:t>
            </w:r>
          </w:p>
        </w:tc>
        <w:tc>
          <w:tcPr>
            <w:tcW w:w="4873" w:type="dxa"/>
            <w:shd w:val="clear" w:color="auto" w:fill="EDF7ED"/>
          </w:tcPr>
          <w:p w14:paraId="4ECB1A9C" w14:textId="77777777" w:rsidR="00C86537" w:rsidRDefault="00000000">
            <w:pPr>
              <w:jc w:val="center"/>
            </w:pPr>
            <w:r>
              <w:t>Low</w:t>
            </w:r>
          </w:p>
        </w:tc>
      </w:tr>
      <w:tr w:rsidR="00C86537" w14:paraId="158DC667" w14:textId="77777777">
        <w:trPr>
          <w:jc w:val="center"/>
        </w:trPr>
        <w:tc>
          <w:tcPr>
            <w:tcW w:w="4873" w:type="dxa"/>
            <w:shd w:val="clear" w:color="auto" w:fill="FBFBFB"/>
          </w:tcPr>
          <w:p w14:paraId="0CE836C4" w14:textId="77777777" w:rsidR="00C86537" w:rsidRDefault="00000000">
            <w:pPr>
              <w:jc w:val="center"/>
            </w:pPr>
            <w:r>
              <w:t>3-4</w:t>
            </w:r>
          </w:p>
        </w:tc>
        <w:tc>
          <w:tcPr>
            <w:tcW w:w="4873" w:type="dxa"/>
            <w:shd w:val="clear" w:color="auto" w:fill="FFFBEA"/>
          </w:tcPr>
          <w:p w14:paraId="4389B912" w14:textId="77777777" w:rsidR="00C86537" w:rsidRDefault="00000000">
            <w:pPr>
              <w:jc w:val="center"/>
            </w:pPr>
            <w:r>
              <w:t>Medium</w:t>
            </w:r>
          </w:p>
        </w:tc>
      </w:tr>
      <w:tr w:rsidR="00C86537" w14:paraId="4CF1C814" w14:textId="77777777">
        <w:trPr>
          <w:jc w:val="center"/>
        </w:trPr>
        <w:tc>
          <w:tcPr>
            <w:tcW w:w="4873" w:type="dxa"/>
            <w:shd w:val="clear" w:color="auto" w:fill="FBFBFB"/>
          </w:tcPr>
          <w:p w14:paraId="7B010F3E" w14:textId="77777777" w:rsidR="00C86537" w:rsidRDefault="00000000">
            <w:pPr>
              <w:jc w:val="center"/>
            </w:pPr>
            <w:r>
              <w:t>5-6</w:t>
            </w:r>
          </w:p>
        </w:tc>
        <w:tc>
          <w:tcPr>
            <w:tcW w:w="4873" w:type="dxa"/>
            <w:shd w:val="clear" w:color="auto" w:fill="FCE8E6"/>
          </w:tcPr>
          <w:p w14:paraId="72B2B5B5" w14:textId="77777777" w:rsidR="00C86537" w:rsidRDefault="00000000">
            <w:pPr>
              <w:jc w:val="center"/>
            </w:pPr>
            <w:r>
              <w:t>High</w:t>
            </w:r>
          </w:p>
        </w:tc>
      </w:tr>
    </w:tbl>
    <w:p w14:paraId="729593AF" w14:textId="77777777" w:rsidR="00C86537" w:rsidRDefault="00000000">
      <w:pPr>
        <w:pStyle w:val="Heading1"/>
      </w:pPr>
      <w:r>
        <w:t>4. Risk Evaluation Against Risk Appetite</w:t>
      </w:r>
    </w:p>
    <w:p w14:paraId="6F4F9A68" w14:textId="77777777" w:rsidR="00C86537" w:rsidRDefault="00000000">
      <w:pPr>
        <w:spacing w:after="140"/>
      </w:pPr>
      <w:r>
        <w:t>Risk evaluation determines whether the scored vulnerabilities fall within or outside the level of risk that the organization is willing to tolerate. This is where technical scoring becomes a management decision tool.</w:t>
      </w:r>
    </w:p>
    <w:p w14:paraId="5BE36F1B" w14:textId="77777777" w:rsidR="00C86537" w:rsidRDefault="00000000">
      <w:pPr>
        <w:spacing w:after="140"/>
      </w:pPr>
      <w:r>
        <w:t>As a common model, low risks are usually considered within appetite, medium risks may be tolerated temporarily with monitoring and a remediation plan, and high risks are generally considered above appetite and require treatment.</w:t>
      </w:r>
    </w:p>
    <w:p w14:paraId="3F2A4B3B" w14:textId="77777777" w:rsidR="00C86537" w:rsidRDefault="00000000">
      <w:pPr>
        <w:spacing w:after="140"/>
      </w:pPr>
      <w:r>
        <w:t>The exact threshold should align with the organization's internal risk appetite statement, business criticality, regulatory obligations, and security governance requirements.</w:t>
      </w:r>
    </w:p>
    <w:tbl>
      <w:tblPr>
        <w:tblStyle w:val="TableGrid"/>
        <w:tblW w:w="0" w:type="auto"/>
        <w:jc w:val="center"/>
        <w:tblLook w:val="04A0" w:firstRow="1" w:lastRow="0" w:firstColumn="1" w:lastColumn="0" w:noHBand="0" w:noVBand="1"/>
      </w:tblPr>
      <w:tblGrid>
        <w:gridCol w:w="3244"/>
        <w:gridCol w:w="3246"/>
        <w:gridCol w:w="3246"/>
      </w:tblGrid>
      <w:tr w:rsidR="00C86537" w14:paraId="1227FBBC" w14:textId="77777777">
        <w:trPr>
          <w:tblHeader/>
          <w:jc w:val="center"/>
        </w:trPr>
        <w:tc>
          <w:tcPr>
            <w:tcW w:w="3249" w:type="dxa"/>
            <w:shd w:val="clear" w:color="auto" w:fill="355C7D"/>
            <w:tcMar>
              <w:top w:w="100" w:type="dxa"/>
              <w:left w:w="110" w:type="dxa"/>
              <w:bottom w:w="100" w:type="dxa"/>
              <w:right w:w="110" w:type="dxa"/>
            </w:tcMar>
            <w:vAlign w:val="center"/>
          </w:tcPr>
          <w:p w14:paraId="5494E9E7" w14:textId="77777777" w:rsidR="00C86537" w:rsidRDefault="00000000">
            <w:pPr>
              <w:jc w:val="center"/>
            </w:pPr>
            <w:r>
              <w:rPr>
                <w:b/>
                <w:color w:val="FFFFFF"/>
              </w:rPr>
              <w:t>Risk Rating</w:t>
            </w:r>
          </w:p>
        </w:tc>
        <w:tc>
          <w:tcPr>
            <w:tcW w:w="3249" w:type="dxa"/>
            <w:shd w:val="clear" w:color="auto" w:fill="355C7D"/>
            <w:tcMar>
              <w:top w:w="100" w:type="dxa"/>
              <w:left w:w="110" w:type="dxa"/>
              <w:bottom w:w="100" w:type="dxa"/>
              <w:right w:w="110" w:type="dxa"/>
            </w:tcMar>
            <w:vAlign w:val="center"/>
          </w:tcPr>
          <w:p w14:paraId="6FDE2A17" w14:textId="77777777" w:rsidR="00C86537" w:rsidRDefault="00000000">
            <w:pPr>
              <w:jc w:val="center"/>
            </w:pPr>
            <w:r>
              <w:rPr>
                <w:b/>
                <w:color w:val="FFFFFF"/>
              </w:rPr>
              <w:t>Appetite Position</w:t>
            </w:r>
          </w:p>
        </w:tc>
        <w:tc>
          <w:tcPr>
            <w:tcW w:w="3249" w:type="dxa"/>
            <w:shd w:val="clear" w:color="auto" w:fill="355C7D"/>
            <w:tcMar>
              <w:top w:w="100" w:type="dxa"/>
              <w:left w:w="110" w:type="dxa"/>
              <w:bottom w:w="100" w:type="dxa"/>
              <w:right w:w="110" w:type="dxa"/>
            </w:tcMar>
            <w:vAlign w:val="center"/>
          </w:tcPr>
          <w:p w14:paraId="3901B921" w14:textId="77777777" w:rsidR="00C86537" w:rsidRDefault="00000000">
            <w:pPr>
              <w:jc w:val="center"/>
            </w:pPr>
            <w:r>
              <w:rPr>
                <w:b/>
                <w:color w:val="FFFFFF"/>
              </w:rPr>
              <w:t>Required Action</w:t>
            </w:r>
          </w:p>
        </w:tc>
      </w:tr>
      <w:tr w:rsidR="00C86537" w14:paraId="2D1912B0" w14:textId="77777777">
        <w:trPr>
          <w:jc w:val="center"/>
        </w:trPr>
        <w:tc>
          <w:tcPr>
            <w:tcW w:w="3249" w:type="dxa"/>
            <w:shd w:val="clear" w:color="auto" w:fill="EDF7ED"/>
          </w:tcPr>
          <w:p w14:paraId="22F11F7C" w14:textId="77777777" w:rsidR="00C86537" w:rsidRDefault="00000000">
            <w:r>
              <w:rPr>
                <w:sz w:val="20"/>
              </w:rPr>
              <w:t>Low</w:t>
            </w:r>
          </w:p>
        </w:tc>
        <w:tc>
          <w:tcPr>
            <w:tcW w:w="3249" w:type="dxa"/>
            <w:shd w:val="clear" w:color="auto" w:fill="FBFBFB"/>
          </w:tcPr>
          <w:p w14:paraId="175196C4" w14:textId="77777777" w:rsidR="00C86537" w:rsidRDefault="00000000">
            <w:r>
              <w:rPr>
                <w:sz w:val="20"/>
              </w:rPr>
              <w:t>Within appetite</w:t>
            </w:r>
          </w:p>
        </w:tc>
        <w:tc>
          <w:tcPr>
            <w:tcW w:w="3249" w:type="dxa"/>
            <w:shd w:val="clear" w:color="auto" w:fill="FBFBFB"/>
          </w:tcPr>
          <w:p w14:paraId="301191F4" w14:textId="77777777" w:rsidR="00C86537" w:rsidRDefault="00000000">
            <w:r>
              <w:rPr>
                <w:sz w:val="20"/>
              </w:rPr>
              <w:t>Accept, monitor, or address during routine hardening.</w:t>
            </w:r>
          </w:p>
        </w:tc>
      </w:tr>
      <w:tr w:rsidR="00C86537" w14:paraId="16ED1F81" w14:textId="77777777">
        <w:trPr>
          <w:jc w:val="center"/>
        </w:trPr>
        <w:tc>
          <w:tcPr>
            <w:tcW w:w="3249" w:type="dxa"/>
            <w:shd w:val="clear" w:color="auto" w:fill="FFFBEA"/>
          </w:tcPr>
          <w:p w14:paraId="35EEA3A2" w14:textId="77777777" w:rsidR="00C86537" w:rsidRDefault="00000000">
            <w:r>
              <w:rPr>
                <w:sz w:val="20"/>
              </w:rPr>
              <w:t>Medium</w:t>
            </w:r>
          </w:p>
        </w:tc>
        <w:tc>
          <w:tcPr>
            <w:tcW w:w="3249" w:type="dxa"/>
            <w:shd w:val="clear" w:color="auto" w:fill="FBFBFB"/>
          </w:tcPr>
          <w:p w14:paraId="1F085273" w14:textId="77777777" w:rsidR="00C86537" w:rsidRDefault="00000000">
            <w:r>
              <w:rPr>
                <w:sz w:val="20"/>
              </w:rPr>
              <w:t>Conditionally tolerable</w:t>
            </w:r>
          </w:p>
        </w:tc>
        <w:tc>
          <w:tcPr>
            <w:tcW w:w="3249" w:type="dxa"/>
            <w:shd w:val="clear" w:color="auto" w:fill="FBFBFB"/>
          </w:tcPr>
          <w:p w14:paraId="1D4FBC07" w14:textId="77777777" w:rsidR="00C86537" w:rsidRDefault="00000000">
            <w:r>
              <w:rPr>
                <w:sz w:val="20"/>
              </w:rPr>
              <w:t>Remediate within agreed timeline and track to closure.</w:t>
            </w:r>
          </w:p>
        </w:tc>
      </w:tr>
      <w:tr w:rsidR="00C86537" w14:paraId="6E2BDDB7" w14:textId="77777777">
        <w:trPr>
          <w:jc w:val="center"/>
        </w:trPr>
        <w:tc>
          <w:tcPr>
            <w:tcW w:w="3249" w:type="dxa"/>
            <w:shd w:val="clear" w:color="auto" w:fill="FCE8E6"/>
          </w:tcPr>
          <w:p w14:paraId="21DE4BDE" w14:textId="77777777" w:rsidR="00C86537" w:rsidRDefault="00000000">
            <w:r>
              <w:rPr>
                <w:sz w:val="20"/>
              </w:rPr>
              <w:t>High</w:t>
            </w:r>
          </w:p>
        </w:tc>
        <w:tc>
          <w:tcPr>
            <w:tcW w:w="3249" w:type="dxa"/>
            <w:shd w:val="clear" w:color="auto" w:fill="FBFBFB"/>
          </w:tcPr>
          <w:p w14:paraId="6811395F" w14:textId="77777777" w:rsidR="00C86537" w:rsidRDefault="00000000">
            <w:r>
              <w:rPr>
                <w:sz w:val="20"/>
              </w:rPr>
              <w:t>Above appetite</w:t>
            </w:r>
          </w:p>
        </w:tc>
        <w:tc>
          <w:tcPr>
            <w:tcW w:w="3249" w:type="dxa"/>
            <w:shd w:val="clear" w:color="auto" w:fill="FBFBFB"/>
          </w:tcPr>
          <w:p w14:paraId="77D2D46A" w14:textId="77777777" w:rsidR="00C86537" w:rsidRDefault="00000000">
            <w:r>
              <w:rPr>
                <w:sz w:val="20"/>
              </w:rPr>
              <w:t>Escalate and treat immediately with clear ownership and due date.</w:t>
            </w:r>
          </w:p>
        </w:tc>
      </w:tr>
    </w:tbl>
    <w:p w14:paraId="23E5B563" w14:textId="77777777" w:rsidR="00C86537" w:rsidRDefault="00000000">
      <w:pPr>
        <w:pStyle w:val="Heading1"/>
      </w:pPr>
      <w:r>
        <w:t>5. Risk Matrix and Heat Map Positioning</w:t>
      </w:r>
    </w:p>
    <w:p w14:paraId="3E6C4CD7" w14:textId="77777777" w:rsidR="00C86537" w:rsidRDefault="00000000">
      <w:pPr>
        <w:spacing w:after="140"/>
      </w:pPr>
      <w:r>
        <w:t>To support visual prioritization, each vulnerability is positioned on a risk matrix using impact on one axis and probability on the other. Probability may be informed by exploitability, exposure, availability of exploits, and attacker effort. Impact reflects the likely business consequence if exploitation occurs.</w:t>
      </w:r>
    </w:p>
    <w:p w14:paraId="5BCC9E95" w14:textId="77777777" w:rsidR="00C86537" w:rsidRDefault="00000000">
      <w:pPr>
        <w:spacing w:after="140"/>
      </w:pPr>
      <w:r>
        <w:t>The matrix below uses a simple High-Medium-Low scale and can be used to plot each vulnerability reference from the Nessus findings.</w:t>
      </w:r>
    </w:p>
    <w:tbl>
      <w:tblPr>
        <w:tblStyle w:val="TableGrid"/>
        <w:tblW w:w="0" w:type="auto"/>
        <w:jc w:val="center"/>
        <w:tblLook w:val="04A0" w:firstRow="1" w:lastRow="0" w:firstColumn="1" w:lastColumn="0" w:noHBand="0" w:noVBand="1"/>
      </w:tblPr>
      <w:tblGrid>
        <w:gridCol w:w="2434"/>
        <w:gridCol w:w="2434"/>
        <w:gridCol w:w="2434"/>
        <w:gridCol w:w="2434"/>
      </w:tblGrid>
      <w:tr w:rsidR="00C86537" w14:paraId="5C2F2239" w14:textId="77777777">
        <w:trPr>
          <w:jc w:val="center"/>
        </w:trPr>
        <w:tc>
          <w:tcPr>
            <w:tcW w:w="2436" w:type="dxa"/>
            <w:shd w:val="clear" w:color="auto" w:fill="355C7D"/>
            <w:tcMar>
              <w:top w:w="100" w:type="dxa"/>
              <w:left w:w="110" w:type="dxa"/>
              <w:bottom w:w="100" w:type="dxa"/>
              <w:right w:w="110" w:type="dxa"/>
            </w:tcMar>
            <w:vAlign w:val="center"/>
          </w:tcPr>
          <w:p w14:paraId="53ECA919" w14:textId="77777777" w:rsidR="00C86537" w:rsidRDefault="00C86537">
            <w:pPr>
              <w:jc w:val="center"/>
            </w:pPr>
          </w:p>
        </w:tc>
        <w:tc>
          <w:tcPr>
            <w:tcW w:w="2436" w:type="dxa"/>
            <w:shd w:val="clear" w:color="auto" w:fill="355C7D"/>
            <w:tcMar>
              <w:top w:w="100" w:type="dxa"/>
              <w:left w:w="110" w:type="dxa"/>
              <w:bottom w:w="100" w:type="dxa"/>
              <w:right w:w="110" w:type="dxa"/>
            </w:tcMar>
            <w:vAlign w:val="center"/>
          </w:tcPr>
          <w:p w14:paraId="391FFE4C" w14:textId="77777777" w:rsidR="00C86537" w:rsidRDefault="00000000">
            <w:pPr>
              <w:jc w:val="center"/>
            </w:pPr>
            <w:r>
              <w:rPr>
                <w:b/>
                <w:color w:val="FFFFFF"/>
              </w:rPr>
              <w:t>Low</w:t>
            </w:r>
          </w:p>
        </w:tc>
        <w:tc>
          <w:tcPr>
            <w:tcW w:w="2436" w:type="dxa"/>
            <w:shd w:val="clear" w:color="auto" w:fill="355C7D"/>
            <w:tcMar>
              <w:top w:w="100" w:type="dxa"/>
              <w:left w:w="110" w:type="dxa"/>
              <w:bottom w:w="100" w:type="dxa"/>
              <w:right w:w="110" w:type="dxa"/>
            </w:tcMar>
            <w:vAlign w:val="center"/>
          </w:tcPr>
          <w:p w14:paraId="1B6B77C3" w14:textId="77777777" w:rsidR="00C86537" w:rsidRDefault="00000000">
            <w:pPr>
              <w:jc w:val="center"/>
            </w:pPr>
            <w:r>
              <w:rPr>
                <w:b/>
                <w:color w:val="FFFFFF"/>
              </w:rPr>
              <w:t>Medium</w:t>
            </w:r>
          </w:p>
        </w:tc>
        <w:tc>
          <w:tcPr>
            <w:tcW w:w="2436" w:type="dxa"/>
            <w:shd w:val="clear" w:color="auto" w:fill="355C7D"/>
            <w:tcMar>
              <w:top w:w="100" w:type="dxa"/>
              <w:left w:w="110" w:type="dxa"/>
              <w:bottom w:w="100" w:type="dxa"/>
              <w:right w:w="110" w:type="dxa"/>
            </w:tcMar>
            <w:vAlign w:val="center"/>
          </w:tcPr>
          <w:p w14:paraId="04DE38A1" w14:textId="77777777" w:rsidR="00C86537" w:rsidRDefault="00000000">
            <w:pPr>
              <w:jc w:val="center"/>
            </w:pPr>
            <w:r>
              <w:rPr>
                <w:b/>
                <w:color w:val="FFFFFF"/>
              </w:rPr>
              <w:t>High</w:t>
            </w:r>
          </w:p>
        </w:tc>
      </w:tr>
      <w:tr w:rsidR="00C86537" w14:paraId="2E4512D6" w14:textId="77777777">
        <w:trPr>
          <w:jc w:val="center"/>
        </w:trPr>
        <w:tc>
          <w:tcPr>
            <w:tcW w:w="2436" w:type="dxa"/>
            <w:shd w:val="clear" w:color="auto" w:fill="355C7D"/>
            <w:tcMar>
              <w:top w:w="100" w:type="dxa"/>
              <w:left w:w="110" w:type="dxa"/>
              <w:bottom w:w="100" w:type="dxa"/>
              <w:right w:w="110" w:type="dxa"/>
            </w:tcMar>
            <w:vAlign w:val="center"/>
          </w:tcPr>
          <w:p w14:paraId="1740C538" w14:textId="77777777" w:rsidR="00C86537" w:rsidRDefault="00000000">
            <w:pPr>
              <w:jc w:val="center"/>
            </w:pPr>
            <w:r>
              <w:rPr>
                <w:b/>
                <w:color w:val="FFFFFF"/>
              </w:rPr>
              <w:t>High</w:t>
            </w:r>
          </w:p>
        </w:tc>
        <w:tc>
          <w:tcPr>
            <w:tcW w:w="2436" w:type="dxa"/>
            <w:shd w:val="clear" w:color="auto" w:fill="F6E58D"/>
            <w:tcMar>
              <w:top w:w="100" w:type="dxa"/>
              <w:left w:w="110" w:type="dxa"/>
              <w:bottom w:w="100" w:type="dxa"/>
              <w:right w:w="110" w:type="dxa"/>
            </w:tcMar>
            <w:vAlign w:val="center"/>
          </w:tcPr>
          <w:p w14:paraId="2ADAA706" w14:textId="77777777" w:rsidR="00C86537" w:rsidRDefault="00000000">
            <w:pPr>
              <w:jc w:val="center"/>
            </w:pPr>
            <w:r>
              <w:rPr>
                <w:b/>
              </w:rPr>
              <w:t>Medium</w:t>
            </w:r>
          </w:p>
        </w:tc>
        <w:tc>
          <w:tcPr>
            <w:tcW w:w="2436" w:type="dxa"/>
            <w:shd w:val="clear" w:color="auto" w:fill="F2C14E"/>
            <w:tcMar>
              <w:top w:w="100" w:type="dxa"/>
              <w:left w:w="110" w:type="dxa"/>
              <w:bottom w:w="100" w:type="dxa"/>
              <w:right w:w="110" w:type="dxa"/>
            </w:tcMar>
            <w:vAlign w:val="center"/>
          </w:tcPr>
          <w:p w14:paraId="21465511" w14:textId="77777777" w:rsidR="00C86537" w:rsidRDefault="00000000">
            <w:pPr>
              <w:jc w:val="center"/>
            </w:pPr>
            <w:r>
              <w:rPr>
                <w:b/>
              </w:rPr>
              <w:t>High</w:t>
            </w:r>
          </w:p>
        </w:tc>
        <w:tc>
          <w:tcPr>
            <w:tcW w:w="2436" w:type="dxa"/>
            <w:shd w:val="clear" w:color="auto" w:fill="D65F5F"/>
            <w:tcMar>
              <w:top w:w="100" w:type="dxa"/>
              <w:left w:w="110" w:type="dxa"/>
              <w:bottom w:w="100" w:type="dxa"/>
              <w:right w:w="110" w:type="dxa"/>
            </w:tcMar>
            <w:vAlign w:val="center"/>
          </w:tcPr>
          <w:p w14:paraId="223A3662" w14:textId="77777777" w:rsidR="00C86537" w:rsidRDefault="00000000">
            <w:pPr>
              <w:jc w:val="center"/>
            </w:pPr>
            <w:r>
              <w:rPr>
                <w:b/>
              </w:rPr>
              <w:t>High</w:t>
            </w:r>
          </w:p>
        </w:tc>
      </w:tr>
      <w:tr w:rsidR="00C86537" w14:paraId="364C9559" w14:textId="77777777">
        <w:trPr>
          <w:jc w:val="center"/>
        </w:trPr>
        <w:tc>
          <w:tcPr>
            <w:tcW w:w="2436" w:type="dxa"/>
            <w:shd w:val="clear" w:color="auto" w:fill="355C7D"/>
            <w:tcMar>
              <w:top w:w="100" w:type="dxa"/>
              <w:left w:w="110" w:type="dxa"/>
              <w:bottom w:w="100" w:type="dxa"/>
              <w:right w:w="110" w:type="dxa"/>
            </w:tcMar>
            <w:vAlign w:val="center"/>
          </w:tcPr>
          <w:p w14:paraId="2AF06F4A" w14:textId="77777777" w:rsidR="00C86537" w:rsidRDefault="00000000">
            <w:pPr>
              <w:jc w:val="center"/>
            </w:pPr>
            <w:r>
              <w:rPr>
                <w:b/>
                <w:color w:val="FFFFFF"/>
              </w:rPr>
              <w:t>Medium</w:t>
            </w:r>
          </w:p>
        </w:tc>
        <w:tc>
          <w:tcPr>
            <w:tcW w:w="2436" w:type="dxa"/>
            <w:shd w:val="clear" w:color="auto" w:fill="B7E4C7"/>
            <w:tcMar>
              <w:top w:w="100" w:type="dxa"/>
              <w:left w:w="110" w:type="dxa"/>
              <w:bottom w:w="100" w:type="dxa"/>
              <w:right w:w="110" w:type="dxa"/>
            </w:tcMar>
            <w:vAlign w:val="center"/>
          </w:tcPr>
          <w:p w14:paraId="64EA31AA" w14:textId="77777777" w:rsidR="00C86537" w:rsidRDefault="00000000">
            <w:pPr>
              <w:jc w:val="center"/>
            </w:pPr>
            <w:r>
              <w:rPr>
                <w:b/>
              </w:rPr>
              <w:t>Low</w:t>
            </w:r>
          </w:p>
        </w:tc>
        <w:tc>
          <w:tcPr>
            <w:tcW w:w="2436" w:type="dxa"/>
            <w:shd w:val="clear" w:color="auto" w:fill="F6E58D"/>
            <w:tcMar>
              <w:top w:w="100" w:type="dxa"/>
              <w:left w:w="110" w:type="dxa"/>
              <w:bottom w:w="100" w:type="dxa"/>
              <w:right w:w="110" w:type="dxa"/>
            </w:tcMar>
            <w:vAlign w:val="center"/>
          </w:tcPr>
          <w:p w14:paraId="0780210D" w14:textId="77777777" w:rsidR="00C86537" w:rsidRDefault="00000000">
            <w:pPr>
              <w:jc w:val="center"/>
            </w:pPr>
            <w:r>
              <w:rPr>
                <w:b/>
              </w:rPr>
              <w:t>Medium</w:t>
            </w:r>
          </w:p>
        </w:tc>
        <w:tc>
          <w:tcPr>
            <w:tcW w:w="2436" w:type="dxa"/>
            <w:shd w:val="clear" w:color="auto" w:fill="F2C14E"/>
            <w:tcMar>
              <w:top w:w="100" w:type="dxa"/>
              <w:left w:w="110" w:type="dxa"/>
              <w:bottom w:w="100" w:type="dxa"/>
              <w:right w:w="110" w:type="dxa"/>
            </w:tcMar>
            <w:vAlign w:val="center"/>
          </w:tcPr>
          <w:p w14:paraId="59809E7A" w14:textId="77777777" w:rsidR="00C86537" w:rsidRDefault="00000000">
            <w:pPr>
              <w:jc w:val="center"/>
            </w:pPr>
            <w:r>
              <w:rPr>
                <w:b/>
              </w:rPr>
              <w:t>High</w:t>
            </w:r>
          </w:p>
        </w:tc>
      </w:tr>
      <w:tr w:rsidR="00C86537" w14:paraId="11601E80" w14:textId="77777777">
        <w:trPr>
          <w:jc w:val="center"/>
        </w:trPr>
        <w:tc>
          <w:tcPr>
            <w:tcW w:w="2436" w:type="dxa"/>
            <w:shd w:val="clear" w:color="auto" w:fill="355C7D"/>
            <w:tcMar>
              <w:top w:w="100" w:type="dxa"/>
              <w:left w:w="110" w:type="dxa"/>
              <w:bottom w:w="100" w:type="dxa"/>
              <w:right w:w="110" w:type="dxa"/>
            </w:tcMar>
            <w:vAlign w:val="center"/>
          </w:tcPr>
          <w:p w14:paraId="330A47CE" w14:textId="77777777" w:rsidR="00C86537" w:rsidRDefault="00000000">
            <w:pPr>
              <w:jc w:val="center"/>
            </w:pPr>
            <w:r>
              <w:rPr>
                <w:b/>
                <w:color w:val="FFFFFF"/>
              </w:rPr>
              <w:t>Low</w:t>
            </w:r>
          </w:p>
        </w:tc>
        <w:tc>
          <w:tcPr>
            <w:tcW w:w="2436" w:type="dxa"/>
            <w:shd w:val="clear" w:color="auto" w:fill="74C69D"/>
            <w:tcMar>
              <w:top w:w="100" w:type="dxa"/>
              <w:left w:w="110" w:type="dxa"/>
              <w:bottom w:w="100" w:type="dxa"/>
              <w:right w:w="110" w:type="dxa"/>
            </w:tcMar>
            <w:vAlign w:val="center"/>
          </w:tcPr>
          <w:p w14:paraId="2C7186D3" w14:textId="77777777" w:rsidR="00C86537" w:rsidRDefault="00000000">
            <w:pPr>
              <w:jc w:val="center"/>
            </w:pPr>
            <w:r>
              <w:rPr>
                <w:b/>
              </w:rPr>
              <w:t>Low</w:t>
            </w:r>
          </w:p>
        </w:tc>
        <w:tc>
          <w:tcPr>
            <w:tcW w:w="2436" w:type="dxa"/>
            <w:shd w:val="clear" w:color="auto" w:fill="B7E4C7"/>
            <w:tcMar>
              <w:top w:w="100" w:type="dxa"/>
              <w:left w:w="110" w:type="dxa"/>
              <w:bottom w:w="100" w:type="dxa"/>
              <w:right w:w="110" w:type="dxa"/>
            </w:tcMar>
            <w:vAlign w:val="center"/>
          </w:tcPr>
          <w:p w14:paraId="1A4E1017" w14:textId="77777777" w:rsidR="00C86537" w:rsidRDefault="00000000">
            <w:pPr>
              <w:jc w:val="center"/>
            </w:pPr>
            <w:r>
              <w:rPr>
                <w:b/>
              </w:rPr>
              <w:t>Low</w:t>
            </w:r>
          </w:p>
        </w:tc>
        <w:tc>
          <w:tcPr>
            <w:tcW w:w="2436" w:type="dxa"/>
            <w:shd w:val="clear" w:color="auto" w:fill="F6E58D"/>
            <w:tcMar>
              <w:top w:w="100" w:type="dxa"/>
              <w:left w:w="110" w:type="dxa"/>
              <w:bottom w:w="100" w:type="dxa"/>
              <w:right w:w="110" w:type="dxa"/>
            </w:tcMar>
            <w:vAlign w:val="center"/>
          </w:tcPr>
          <w:p w14:paraId="3FCC081D" w14:textId="77777777" w:rsidR="00C86537" w:rsidRDefault="00000000">
            <w:pPr>
              <w:jc w:val="center"/>
            </w:pPr>
            <w:r>
              <w:rPr>
                <w:b/>
              </w:rPr>
              <w:t>Medium</w:t>
            </w:r>
          </w:p>
        </w:tc>
      </w:tr>
    </w:tbl>
    <w:p w14:paraId="2F7EBF6F" w14:textId="77777777" w:rsidR="00C86537" w:rsidRDefault="00000000">
      <w:pPr>
        <w:jc w:val="center"/>
      </w:pPr>
      <w:r>
        <w:rPr>
          <w:i/>
          <w:color w:val="585858"/>
          <w:sz w:val="19"/>
        </w:rPr>
        <w:t>Figure 1. Example risk heat map using Impact versus Probability.</w:t>
      </w:r>
    </w:p>
    <w:p w14:paraId="2C82E23D" w14:textId="77777777" w:rsidR="00C86537" w:rsidRDefault="00000000">
      <w:pPr>
        <w:pStyle w:val="Heading1"/>
      </w:pPr>
      <w:r>
        <w:t>6. Recommended Risk Treatment Techniques</w:t>
      </w:r>
    </w:p>
    <w:p w14:paraId="342DFAA1" w14:textId="77777777" w:rsidR="00C86537" w:rsidRDefault="00000000">
      <w:pPr>
        <w:spacing w:after="140"/>
      </w:pPr>
      <w:r>
        <w:t>Once each vulnerability is evaluated, an appropriate treatment option should be selected. Treatment decisions should consider urgency, cost, feasibility, business dependency, and availability of compensating controls.</w:t>
      </w:r>
    </w:p>
    <w:p w14:paraId="62F4BC5E" w14:textId="77777777" w:rsidR="00C86537" w:rsidRDefault="00000000">
      <w:pPr>
        <w:spacing w:after="140"/>
      </w:pPr>
      <w:r>
        <w:lastRenderedPageBreak/>
        <w:t>In practice, the most common treatment option for vulnerability-derived risks is mitigation through patching, configuration hardening, access restriction, segmentation, monitoring enhancement, or temporary compensating controls.</w:t>
      </w:r>
    </w:p>
    <w:tbl>
      <w:tblPr>
        <w:tblStyle w:val="TableGrid"/>
        <w:tblW w:w="0" w:type="auto"/>
        <w:jc w:val="center"/>
        <w:tblLook w:val="04A0" w:firstRow="1" w:lastRow="0" w:firstColumn="1" w:lastColumn="0" w:noHBand="0" w:noVBand="1"/>
      </w:tblPr>
      <w:tblGrid>
        <w:gridCol w:w="3245"/>
        <w:gridCol w:w="3245"/>
        <w:gridCol w:w="3246"/>
      </w:tblGrid>
      <w:tr w:rsidR="00C86537" w14:paraId="7911B9AD" w14:textId="77777777">
        <w:trPr>
          <w:tblHeader/>
          <w:jc w:val="center"/>
        </w:trPr>
        <w:tc>
          <w:tcPr>
            <w:tcW w:w="3249" w:type="dxa"/>
            <w:shd w:val="clear" w:color="auto" w:fill="355C7D"/>
            <w:tcMar>
              <w:top w:w="100" w:type="dxa"/>
              <w:left w:w="110" w:type="dxa"/>
              <w:bottom w:w="100" w:type="dxa"/>
              <w:right w:w="110" w:type="dxa"/>
            </w:tcMar>
            <w:vAlign w:val="center"/>
          </w:tcPr>
          <w:p w14:paraId="61EB3FBB" w14:textId="77777777" w:rsidR="00C86537" w:rsidRDefault="00000000">
            <w:pPr>
              <w:jc w:val="center"/>
            </w:pPr>
            <w:r>
              <w:rPr>
                <w:b/>
                <w:color w:val="FFFFFF"/>
              </w:rPr>
              <w:t>Treatment Option</w:t>
            </w:r>
          </w:p>
        </w:tc>
        <w:tc>
          <w:tcPr>
            <w:tcW w:w="3249" w:type="dxa"/>
            <w:shd w:val="clear" w:color="auto" w:fill="355C7D"/>
            <w:tcMar>
              <w:top w:w="100" w:type="dxa"/>
              <w:left w:w="110" w:type="dxa"/>
              <w:bottom w:w="100" w:type="dxa"/>
              <w:right w:w="110" w:type="dxa"/>
            </w:tcMar>
            <w:vAlign w:val="center"/>
          </w:tcPr>
          <w:p w14:paraId="18F8E41E" w14:textId="77777777" w:rsidR="00C86537" w:rsidRDefault="00000000">
            <w:pPr>
              <w:jc w:val="center"/>
            </w:pPr>
            <w:r>
              <w:rPr>
                <w:b/>
                <w:color w:val="FFFFFF"/>
              </w:rPr>
              <w:t>Description</w:t>
            </w:r>
          </w:p>
        </w:tc>
        <w:tc>
          <w:tcPr>
            <w:tcW w:w="3249" w:type="dxa"/>
            <w:shd w:val="clear" w:color="auto" w:fill="355C7D"/>
            <w:tcMar>
              <w:top w:w="100" w:type="dxa"/>
              <w:left w:w="110" w:type="dxa"/>
              <w:bottom w:w="100" w:type="dxa"/>
              <w:right w:w="110" w:type="dxa"/>
            </w:tcMar>
            <w:vAlign w:val="center"/>
          </w:tcPr>
          <w:p w14:paraId="1F541E0E" w14:textId="77777777" w:rsidR="00C86537" w:rsidRDefault="00000000">
            <w:pPr>
              <w:jc w:val="center"/>
            </w:pPr>
            <w:r>
              <w:rPr>
                <w:b/>
                <w:color w:val="FFFFFF"/>
              </w:rPr>
              <w:t>Typical Use Case</w:t>
            </w:r>
          </w:p>
        </w:tc>
      </w:tr>
      <w:tr w:rsidR="00C86537" w14:paraId="14955C35" w14:textId="77777777">
        <w:trPr>
          <w:jc w:val="center"/>
        </w:trPr>
        <w:tc>
          <w:tcPr>
            <w:tcW w:w="3249" w:type="dxa"/>
            <w:shd w:val="clear" w:color="auto" w:fill="F2F7FB"/>
          </w:tcPr>
          <w:p w14:paraId="380D23B3" w14:textId="77777777" w:rsidR="00C86537" w:rsidRDefault="00000000">
            <w:r>
              <w:rPr>
                <w:sz w:val="20"/>
              </w:rPr>
              <w:t>Mitigate</w:t>
            </w:r>
          </w:p>
        </w:tc>
        <w:tc>
          <w:tcPr>
            <w:tcW w:w="3249" w:type="dxa"/>
            <w:shd w:val="clear" w:color="auto" w:fill="FBFBFB"/>
          </w:tcPr>
          <w:p w14:paraId="6B1F5B9F" w14:textId="77777777" w:rsidR="00C86537" w:rsidRDefault="00000000">
            <w:r>
              <w:rPr>
                <w:sz w:val="20"/>
              </w:rPr>
              <w:t>Reduce the risk by applying security controls or corrective actions.</w:t>
            </w:r>
          </w:p>
        </w:tc>
        <w:tc>
          <w:tcPr>
            <w:tcW w:w="3249" w:type="dxa"/>
            <w:shd w:val="clear" w:color="auto" w:fill="FBFBFB"/>
          </w:tcPr>
          <w:p w14:paraId="2D0ADB8C" w14:textId="77777777" w:rsidR="00C86537" w:rsidRDefault="00000000">
            <w:r>
              <w:rPr>
                <w:sz w:val="20"/>
              </w:rPr>
              <w:t>Patch vulnerable software, harden configurations, enforce MFA, restrict exposure.</w:t>
            </w:r>
          </w:p>
        </w:tc>
      </w:tr>
      <w:tr w:rsidR="00C86537" w14:paraId="0A7397F0" w14:textId="77777777">
        <w:trPr>
          <w:jc w:val="center"/>
        </w:trPr>
        <w:tc>
          <w:tcPr>
            <w:tcW w:w="3249" w:type="dxa"/>
            <w:shd w:val="clear" w:color="auto" w:fill="F2F7FB"/>
          </w:tcPr>
          <w:p w14:paraId="40FF28A2" w14:textId="77777777" w:rsidR="00C86537" w:rsidRDefault="00000000">
            <w:r>
              <w:rPr>
                <w:sz w:val="20"/>
              </w:rPr>
              <w:t>Accept</w:t>
            </w:r>
          </w:p>
        </w:tc>
        <w:tc>
          <w:tcPr>
            <w:tcW w:w="3249" w:type="dxa"/>
            <w:shd w:val="clear" w:color="auto" w:fill="FBFBFB"/>
          </w:tcPr>
          <w:p w14:paraId="17C69E5A" w14:textId="77777777" w:rsidR="00C86537" w:rsidRDefault="00000000">
            <w:r>
              <w:rPr>
                <w:sz w:val="20"/>
              </w:rPr>
              <w:t>Formally acknowledge the risk when it is within appetite or treatment is not presently justified.</w:t>
            </w:r>
          </w:p>
        </w:tc>
        <w:tc>
          <w:tcPr>
            <w:tcW w:w="3249" w:type="dxa"/>
            <w:shd w:val="clear" w:color="auto" w:fill="FBFBFB"/>
          </w:tcPr>
          <w:p w14:paraId="39B5B1D2" w14:textId="77777777" w:rsidR="00C86537" w:rsidRDefault="00000000">
            <w:r>
              <w:rPr>
                <w:sz w:val="20"/>
              </w:rPr>
              <w:t>Low-risk findings with limited impact and monitoring in place.</w:t>
            </w:r>
          </w:p>
        </w:tc>
      </w:tr>
      <w:tr w:rsidR="00C86537" w14:paraId="3E0EBC37" w14:textId="77777777">
        <w:trPr>
          <w:jc w:val="center"/>
        </w:trPr>
        <w:tc>
          <w:tcPr>
            <w:tcW w:w="3249" w:type="dxa"/>
            <w:shd w:val="clear" w:color="auto" w:fill="F2F7FB"/>
          </w:tcPr>
          <w:p w14:paraId="0F989314" w14:textId="77777777" w:rsidR="00C86537" w:rsidRDefault="00000000">
            <w:r>
              <w:rPr>
                <w:sz w:val="20"/>
              </w:rPr>
              <w:t>Transfer</w:t>
            </w:r>
          </w:p>
        </w:tc>
        <w:tc>
          <w:tcPr>
            <w:tcW w:w="3249" w:type="dxa"/>
            <w:shd w:val="clear" w:color="auto" w:fill="FBFBFB"/>
          </w:tcPr>
          <w:p w14:paraId="6B4F2547" w14:textId="77777777" w:rsidR="00C86537" w:rsidRDefault="00000000">
            <w:r>
              <w:rPr>
                <w:sz w:val="20"/>
              </w:rPr>
              <w:t>Shift part of the risk impact to another party.</w:t>
            </w:r>
          </w:p>
        </w:tc>
        <w:tc>
          <w:tcPr>
            <w:tcW w:w="3249" w:type="dxa"/>
            <w:shd w:val="clear" w:color="auto" w:fill="FBFBFB"/>
          </w:tcPr>
          <w:p w14:paraId="56560BC7" w14:textId="77777777" w:rsidR="00C86537" w:rsidRDefault="00000000">
            <w:r>
              <w:rPr>
                <w:sz w:val="20"/>
              </w:rPr>
              <w:t>Cyber insurance, managed security service arrangements, contractual risk allocation.</w:t>
            </w:r>
          </w:p>
        </w:tc>
      </w:tr>
      <w:tr w:rsidR="00C86537" w14:paraId="3DA88396" w14:textId="77777777">
        <w:trPr>
          <w:jc w:val="center"/>
        </w:trPr>
        <w:tc>
          <w:tcPr>
            <w:tcW w:w="3249" w:type="dxa"/>
            <w:shd w:val="clear" w:color="auto" w:fill="F2F7FB"/>
          </w:tcPr>
          <w:p w14:paraId="56576B89" w14:textId="77777777" w:rsidR="00C86537" w:rsidRDefault="00000000">
            <w:r>
              <w:rPr>
                <w:sz w:val="20"/>
              </w:rPr>
              <w:t>Avoid</w:t>
            </w:r>
          </w:p>
        </w:tc>
        <w:tc>
          <w:tcPr>
            <w:tcW w:w="3249" w:type="dxa"/>
            <w:shd w:val="clear" w:color="auto" w:fill="FBFBFB"/>
          </w:tcPr>
          <w:p w14:paraId="72C553A3" w14:textId="77777777" w:rsidR="00C86537" w:rsidRDefault="00000000">
            <w:r>
              <w:rPr>
                <w:sz w:val="20"/>
              </w:rPr>
              <w:t>Eliminate the activity or condition creating the risk.</w:t>
            </w:r>
          </w:p>
        </w:tc>
        <w:tc>
          <w:tcPr>
            <w:tcW w:w="3249" w:type="dxa"/>
            <w:shd w:val="clear" w:color="auto" w:fill="FBFBFB"/>
          </w:tcPr>
          <w:p w14:paraId="1726917F" w14:textId="77777777" w:rsidR="00C86537" w:rsidRDefault="00000000">
            <w:r>
              <w:rPr>
                <w:sz w:val="20"/>
              </w:rPr>
              <w:t>Decommission unsupported systems or disable unnecessary vulnerable services.</w:t>
            </w:r>
          </w:p>
        </w:tc>
      </w:tr>
    </w:tbl>
    <w:p w14:paraId="04CCF227" w14:textId="77777777" w:rsidR="00C86537" w:rsidRDefault="00000000">
      <w:pPr>
        <w:pStyle w:val="Heading2"/>
      </w:pPr>
      <w:r>
        <w:t>6.1 Recommended Treatment by Risk Level</w:t>
      </w:r>
    </w:p>
    <w:p w14:paraId="457281C8" w14:textId="77777777" w:rsidR="00C86537" w:rsidRDefault="00000000">
      <w:r>
        <w:t>Critical and High findings should normally be mitigated immediately and tracked to closure under formal ownership.</w:t>
      </w:r>
    </w:p>
    <w:p w14:paraId="54E9B7A9" w14:textId="77777777" w:rsidR="00C86537" w:rsidRDefault="00000000">
      <w:r>
        <w:t>Medium findings should be scheduled within defined remediation timelines, with monitoring or compensating controls applied where immediate remediation is not possible.</w:t>
      </w:r>
    </w:p>
    <w:p w14:paraId="2537BEB7" w14:textId="77777777" w:rsidR="00C86537" w:rsidRDefault="00000000">
      <w:r>
        <w:t>Low findings may be accepted or remediated during standard hardening cycles, provided they remain within appetite and do not become more severe when combined with other weaknesses.</w:t>
      </w:r>
    </w:p>
    <w:p w14:paraId="669C30AB" w14:textId="77777777" w:rsidR="00C86537" w:rsidRDefault="00000000">
      <w:pPr>
        <w:pStyle w:val="Heading1"/>
      </w:pPr>
      <w:r>
        <w:t>7. Conclusion</w:t>
      </w:r>
    </w:p>
    <w:p w14:paraId="1104072F" w14:textId="77777777" w:rsidR="00C86537" w:rsidRDefault="00000000">
      <w:pPr>
        <w:spacing w:after="140"/>
      </w:pPr>
      <w:r>
        <w:t>This risk assessment approach converts Nessus scan output into a defensible and management-friendly process for prioritizing vulnerability remediation. By moving from identification to scoring, evaluation, matrix placement, and treatment, the organization gains a clearer picture of which vulnerabilities create the greatest exposure and where remediation effort should be focused first.</w:t>
      </w:r>
    </w:p>
    <w:p w14:paraId="6294619A" w14:textId="77777777" w:rsidR="00C86537" w:rsidRDefault="00000000">
      <w:pPr>
        <w:spacing w:after="140"/>
      </w:pPr>
      <w:r>
        <w:t>The final value of the report depends on accurate population of the risk register, consistent scoring criteria, and alignment with the organization's actual risk appetite. Once the Appendix is completed with real findings, this document can serve as both a technical and governance reporting artifact.</w:t>
      </w:r>
    </w:p>
    <w:p w14:paraId="71712E61" w14:textId="77777777" w:rsidR="00C86537" w:rsidRDefault="00000000">
      <w:r>
        <w:br w:type="page"/>
      </w:r>
    </w:p>
    <w:sectPr w:rsidR="00C86537" w:rsidSect="00034616">
      <w:footerReference w:type="default" r:id="rId8"/>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D1EF" w14:textId="77777777" w:rsidR="00FB7D74" w:rsidRDefault="00FB7D74">
      <w:pPr>
        <w:spacing w:after="0" w:line="240" w:lineRule="auto"/>
      </w:pPr>
      <w:r>
        <w:separator/>
      </w:r>
    </w:p>
  </w:endnote>
  <w:endnote w:type="continuationSeparator" w:id="0">
    <w:p w14:paraId="1851EB76" w14:textId="77777777" w:rsidR="00FB7D74" w:rsidRDefault="00FB7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172F" w14:textId="77777777" w:rsidR="00C86537" w:rsidRDefault="00000000">
    <w:pPr>
      <w:pStyle w:val="Footer"/>
      <w:jc w:val="right"/>
    </w:pPr>
    <w:r>
      <w:rPr>
        <w:color w:val="585858"/>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C1A2" w14:textId="77777777" w:rsidR="00FB7D74" w:rsidRDefault="00FB7D74">
      <w:pPr>
        <w:spacing w:after="0" w:line="240" w:lineRule="auto"/>
      </w:pPr>
      <w:r>
        <w:separator/>
      </w:r>
    </w:p>
  </w:footnote>
  <w:footnote w:type="continuationSeparator" w:id="0">
    <w:p w14:paraId="1049194A" w14:textId="77777777" w:rsidR="00FB7D74" w:rsidRDefault="00FB7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5664941">
    <w:abstractNumId w:val="8"/>
  </w:num>
  <w:num w:numId="2" w16cid:durableId="1729719368">
    <w:abstractNumId w:val="6"/>
  </w:num>
  <w:num w:numId="3" w16cid:durableId="1050767843">
    <w:abstractNumId w:val="5"/>
  </w:num>
  <w:num w:numId="4" w16cid:durableId="230235990">
    <w:abstractNumId w:val="4"/>
  </w:num>
  <w:num w:numId="5" w16cid:durableId="1076247206">
    <w:abstractNumId w:val="7"/>
  </w:num>
  <w:num w:numId="6" w16cid:durableId="346827935">
    <w:abstractNumId w:val="3"/>
  </w:num>
  <w:num w:numId="7" w16cid:durableId="569311247">
    <w:abstractNumId w:val="2"/>
  </w:num>
  <w:num w:numId="8" w16cid:durableId="456071446">
    <w:abstractNumId w:val="1"/>
  </w:num>
  <w:num w:numId="9" w16cid:durableId="143670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019"/>
    <w:rsid w:val="00954015"/>
    <w:rsid w:val="00AA1D8D"/>
    <w:rsid w:val="00B47730"/>
    <w:rsid w:val="00C86537"/>
    <w:rsid w:val="00CB0664"/>
    <w:rsid w:val="00D012E4"/>
    <w:rsid w:val="00DE1DDD"/>
    <w:rsid w:val="00FB7D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19502"/>
  <w14:defaultImageDpi w14:val="300"/>
  <w15:docId w15:val="{23B74F36-FB47-4697-8AAD-EACD5557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4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C9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Aptos Display" w:hAnsi="Aptos Display"/>
      <w:b/>
      <w:color w:val="193454"/>
      <w:sz w:val="46"/>
    </w:rPr>
  </w:style>
  <w:style w:type="paragraph" w:customStyle="1" w:styleId="ReportSubtitle">
    <w:name w:val="ReportSubtitle"/>
    <w:rPr>
      <w:rFonts w:ascii="Aptos" w:hAnsi="Aptos"/>
      <w:color w:val="585858"/>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6</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SLIM A</cp:lastModifiedBy>
  <cp:revision>3</cp:revision>
  <dcterms:created xsi:type="dcterms:W3CDTF">2026-05-21T06:11:00Z</dcterms:created>
  <dcterms:modified xsi:type="dcterms:W3CDTF">2026-05-21T13:42:00Z</dcterms:modified>
  <cp:category/>
</cp:coreProperties>
</file>