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4D299" w14:textId="2C440EAF" w:rsidR="00E5582C" w:rsidRDefault="00000000">
      <w:r>
        <w:rPr>
          <w:b/>
          <w:color w:val="005A2B"/>
          <w:sz w:val="44"/>
        </w:rPr>
        <w:t>IMBEWU INVESTIGATION</w:t>
      </w:r>
      <w:r>
        <w:rPr>
          <w:b/>
          <w:color w:val="1F1F1F"/>
          <w:sz w:val="20"/>
        </w:rPr>
        <w:br/>
        <w:t>Executive Summary | Commercial Analytics Investigation</w:t>
      </w:r>
      <w:r>
        <w:rPr>
          <w:color w:val="666666"/>
          <w:sz w:val="16"/>
        </w:rPr>
        <w:br/>
        <w:t>S’lindokuhle Khoza  •  Witle Academy Data Analytics Bootcamp  •  3</w:t>
      </w:r>
      <w:r w:rsidR="00591B8B">
        <w:rPr>
          <w:color w:val="666666"/>
          <w:sz w:val="16"/>
        </w:rPr>
        <w:t>1</w:t>
      </w:r>
      <w:r>
        <w:rPr>
          <w:color w:val="666666"/>
          <w:sz w:val="16"/>
        </w:rPr>
        <w:t xml:space="preserve"> August 2026</w:t>
      </w:r>
    </w:p>
    <w:tbl>
      <w:tblPr>
        <w:tblW w:w="0" w:type="auto"/>
        <w:jc w:val="center"/>
        <w:tblLook w:val="04A0" w:firstRow="1" w:lastRow="0" w:firstColumn="1" w:lastColumn="0" w:noHBand="0" w:noVBand="1"/>
      </w:tblPr>
      <w:tblGrid>
        <w:gridCol w:w="10368"/>
      </w:tblGrid>
      <w:tr w:rsidR="00E5582C" w14:paraId="46ADE016" w14:textId="77777777">
        <w:trPr>
          <w:jc w:val="center"/>
        </w:trPr>
        <w:tc>
          <w:tcPr>
            <w:tcW w:w="10368" w:type="dxa"/>
            <w:shd w:val="clear" w:color="auto" w:fill="EAF4EC"/>
            <w:tcMar>
              <w:top w:w="90" w:type="dxa"/>
              <w:left w:w="110" w:type="dxa"/>
              <w:bottom w:w="90" w:type="dxa"/>
              <w:right w:w="110" w:type="dxa"/>
            </w:tcMar>
          </w:tcPr>
          <w:p w14:paraId="4CDFF459" w14:textId="59619918" w:rsidR="00E5582C" w:rsidRDefault="00000000">
            <w:r>
              <w:rPr>
                <w:b/>
                <w:color w:val="005A2B"/>
                <w:sz w:val="16"/>
              </w:rPr>
              <w:t>EXECUTIVE HEADLINE</w:t>
            </w:r>
            <w:r>
              <w:rPr>
                <w:b/>
                <w:color w:val="005A2B"/>
                <w:sz w:val="16"/>
              </w:rPr>
              <w:br/>
            </w:r>
            <w:r>
              <w:rPr>
                <w:b/>
                <w:color w:val="1F1F1F"/>
                <w:sz w:val="21"/>
              </w:rPr>
              <w:t>Western Cape revenue fell 5.79% year on year, despite all other provinces growing. The decline is concentrated in a small group of stores</w:t>
            </w:r>
            <w:r w:rsidR="00591B8B">
              <w:rPr>
                <w:b/>
                <w:color w:val="1F1F1F"/>
                <w:sz w:val="21"/>
              </w:rPr>
              <w:t xml:space="preserve">, </w:t>
            </w:r>
            <w:r>
              <w:rPr>
                <w:b/>
                <w:color w:val="1F1F1F"/>
                <w:sz w:val="21"/>
              </w:rPr>
              <w:t>led by Bellville</w:t>
            </w:r>
            <w:r w:rsidR="00591B8B">
              <w:rPr>
                <w:b/>
                <w:color w:val="1F1F1F"/>
                <w:sz w:val="21"/>
              </w:rPr>
              <w:t xml:space="preserve">, </w:t>
            </w:r>
            <w:r>
              <w:rPr>
                <w:b/>
                <w:color w:val="1F1F1F"/>
                <w:sz w:val="21"/>
              </w:rPr>
              <w:t>and is driven more by smaller baskets and fewer units than by lower selling prices.</w:t>
            </w:r>
          </w:p>
        </w:tc>
      </w:tr>
    </w:tbl>
    <w:p w14:paraId="177A7919" w14:textId="77777777" w:rsidR="00E5582C" w:rsidRDefault="00000000">
      <w:pPr>
        <w:pStyle w:val="Heading1"/>
      </w:pPr>
      <w:r>
        <w:t>Key Findings</w:t>
      </w:r>
    </w:p>
    <w:tbl>
      <w:tblPr>
        <w:tblW w:w="0" w:type="auto"/>
        <w:jc w:val="center"/>
        <w:tblLook w:val="04A0" w:firstRow="1" w:lastRow="0" w:firstColumn="1" w:lastColumn="0" w:noHBand="0" w:noVBand="1"/>
      </w:tblPr>
      <w:tblGrid>
        <w:gridCol w:w="2592"/>
        <w:gridCol w:w="2592"/>
        <w:gridCol w:w="2592"/>
        <w:gridCol w:w="2592"/>
      </w:tblGrid>
      <w:tr w:rsidR="00E5582C" w14:paraId="0BEFF01C" w14:textId="77777777">
        <w:trPr>
          <w:jc w:val="center"/>
        </w:trPr>
        <w:tc>
          <w:tcPr>
            <w:tcW w:w="2592" w:type="dxa"/>
            <w:shd w:val="clear" w:color="auto" w:fill="F7FAF7"/>
            <w:tcMar>
              <w:top w:w="80" w:type="dxa"/>
              <w:left w:w="70" w:type="dxa"/>
              <w:bottom w:w="80" w:type="dxa"/>
              <w:right w:w="70" w:type="dxa"/>
            </w:tcMar>
          </w:tcPr>
          <w:p w14:paraId="50846409" w14:textId="77777777" w:rsidR="00E5582C" w:rsidRDefault="00000000">
            <w:pPr>
              <w:jc w:val="center"/>
            </w:pPr>
            <w:r>
              <w:rPr>
                <w:b/>
                <w:color w:val="005A2B"/>
                <w:sz w:val="28"/>
              </w:rPr>
              <w:t>R366.28K</w:t>
            </w:r>
            <w:r>
              <w:rPr>
                <w:b/>
                <w:color w:val="005A2B"/>
                <w:sz w:val="28"/>
              </w:rPr>
              <w:br/>
            </w:r>
            <w:r>
              <w:rPr>
                <w:color w:val="666666"/>
                <w:sz w:val="15"/>
              </w:rPr>
              <w:t>WC revenue</w:t>
            </w:r>
            <w:r>
              <w:rPr>
                <w:color w:val="666666"/>
                <w:sz w:val="15"/>
              </w:rPr>
              <w:br/>
              <w:t>Jan–Jun 2025</w:t>
            </w:r>
          </w:p>
        </w:tc>
        <w:tc>
          <w:tcPr>
            <w:tcW w:w="2592" w:type="dxa"/>
            <w:shd w:val="clear" w:color="auto" w:fill="F7FAF7"/>
            <w:tcMar>
              <w:top w:w="80" w:type="dxa"/>
              <w:left w:w="70" w:type="dxa"/>
              <w:bottom w:w="80" w:type="dxa"/>
              <w:right w:w="70" w:type="dxa"/>
            </w:tcMar>
          </w:tcPr>
          <w:p w14:paraId="01FE90B4" w14:textId="77777777" w:rsidR="00E5582C" w:rsidRDefault="00000000">
            <w:pPr>
              <w:jc w:val="center"/>
            </w:pPr>
            <w:r>
              <w:rPr>
                <w:b/>
                <w:color w:val="005A2B"/>
                <w:sz w:val="28"/>
              </w:rPr>
              <w:t>−5.79%</w:t>
            </w:r>
            <w:r>
              <w:rPr>
                <w:b/>
                <w:color w:val="005A2B"/>
                <w:sz w:val="28"/>
              </w:rPr>
              <w:br/>
            </w:r>
            <w:r>
              <w:rPr>
                <w:color w:val="666666"/>
                <w:sz w:val="15"/>
              </w:rPr>
              <w:t>Revenue YoY</w:t>
            </w:r>
          </w:p>
        </w:tc>
        <w:tc>
          <w:tcPr>
            <w:tcW w:w="2592" w:type="dxa"/>
            <w:shd w:val="clear" w:color="auto" w:fill="F7FAF7"/>
            <w:tcMar>
              <w:top w:w="80" w:type="dxa"/>
              <w:left w:w="70" w:type="dxa"/>
              <w:bottom w:w="80" w:type="dxa"/>
              <w:right w:w="70" w:type="dxa"/>
            </w:tcMar>
          </w:tcPr>
          <w:p w14:paraId="1E01FE4B" w14:textId="77777777" w:rsidR="00E5582C" w:rsidRDefault="00000000">
            <w:pPr>
              <w:jc w:val="center"/>
            </w:pPr>
            <w:r>
              <w:rPr>
                <w:b/>
                <w:color w:val="005A2B"/>
                <w:sz w:val="28"/>
              </w:rPr>
              <w:t>−R22.51K</w:t>
            </w:r>
            <w:r>
              <w:rPr>
                <w:b/>
                <w:color w:val="005A2B"/>
                <w:sz w:val="28"/>
              </w:rPr>
              <w:br/>
            </w:r>
            <w:r>
              <w:rPr>
                <w:color w:val="666666"/>
                <w:sz w:val="15"/>
              </w:rPr>
              <w:t>Revenue change</w:t>
            </w:r>
          </w:p>
        </w:tc>
        <w:tc>
          <w:tcPr>
            <w:tcW w:w="2592" w:type="dxa"/>
            <w:shd w:val="clear" w:color="auto" w:fill="F7FAF7"/>
            <w:tcMar>
              <w:top w:w="80" w:type="dxa"/>
              <w:left w:w="70" w:type="dxa"/>
              <w:bottom w:w="80" w:type="dxa"/>
              <w:right w:w="70" w:type="dxa"/>
            </w:tcMar>
          </w:tcPr>
          <w:p w14:paraId="4D853FDD" w14:textId="77777777" w:rsidR="00E5582C" w:rsidRDefault="00000000">
            <w:pPr>
              <w:jc w:val="center"/>
            </w:pPr>
            <w:r>
              <w:rPr>
                <w:b/>
                <w:color w:val="005A2B"/>
                <w:sz w:val="28"/>
              </w:rPr>
              <w:t>−2.29%</w:t>
            </w:r>
            <w:r>
              <w:rPr>
                <w:b/>
                <w:color w:val="005A2B"/>
                <w:sz w:val="28"/>
              </w:rPr>
              <w:br/>
            </w:r>
            <w:r>
              <w:rPr>
                <w:color w:val="666666"/>
                <w:sz w:val="15"/>
              </w:rPr>
              <w:t>Transactions YoY</w:t>
            </w:r>
          </w:p>
        </w:tc>
      </w:tr>
    </w:tbl>
    <w:p w14:paraId="0EDB0817" w14:textId="77777777" w:rsidR="00E5582C" w:rsidRDefault="00000000">
      <w:pPr>
        <w:spacing w:before="60"/>
      </w:pPr>
      <w:r>
        <w:rPr>
          <w:b/>
          <w:color w:val="005A2B"/>
        </w:rPr>
        <w:t xml:space="preserve">1. The problem is concentrated, not province-wide. </w:t>
      </w:r>
      <w:r>
        <w:t>Western Cape was the only province to decline: KwaZulu-Natal grew 14.52%, Eastern Cape 9.93% and Gauteng 9.26%. Within Western Cape, six stores declined and six grew. Bellville was the largest negative contributor, down R18,727 (25.24%), equivalent to about 83% of the province’s net decline.</w:t>
      </w:r>
    </w:p>
    <w:p w14:paraId="03D20A63" w14:textId="5215E69A" w:rsidR="00E5582C" w:rsidRDefault="00000000">
      <w:pPr>
        <w:spacing w:before="60"/>
      </w:pPr>
      <w:r>
        <w:rPr>
          <w:b/>
          <w:color w:val="005A2B"/>
        </w:rPr>
        <w:t xml:space="preserve">2. Customers are buying less per visit. </w:t>
      </w:r>
      <w:r>
        <w:t>Revenue declined 5.79% while transactions declined only 2.29%. Units sold fell 6.62%, average basket value fell 3.58% and items per basket fell 4.43%. Average revenue per unit increased 0.89%, indicating that reduced purchasing volume</w:t>
      </w:r>
      <w:r w:rsidR="00591B8B">
        <w:t xml:space="preserve">, </w:t>
      </w:r>
      <w:r>
        <w:t>not a broad shift to cheaper products</w:t>
      </w:r>
      <w:r w:rsidR="00591B8B">
        <w:t xml:space="preserve">, </w:t>
      </w:r>
      <w:r>
        <w:t>is the stronger driver.</w:t>
      </w:r>
    </w:p>
    <w:p w14:paraId="2BE53C00" w14:textId="77777777" w:rsidR="00E5582C" w:rsidRDefault="00000000">
      <w:pPr>
        <w:spacing w:before="60"/>
      </w:pPr>
      <w:r>
        <w:rPr>
          <w:b/>
          <w:color w:val="005A2B"/>
        </w:rPr>
        <w:t xml:space="preserve">3. Groceries and Household are the key category pressure points. </w:t>
      </w:r>
      <w:r>
        <w:t>Household revenue declined 10.89% and Groceries 8.55%. By contrast, Health &amp; Beauty grew 2.47%, Apparel 3.11% and Electronics 8.86%. This points to targeted category intervention rather than a broad product problem.</w:t>
      </w:r>
    </w:p>
    <w:p w14:paraId="143BA325" w14:textId="77777777" w:rsidR="00E5582C" w:rsidRDefault="00000000">
      <w:pPr>
        <w:spacing w:before="60"/>
      </w:pPr>
      <w:r>
        <w:rPr>
          <w:b/>
          <w:color w:val="005A2B"/>
        </w:rPr>
        <w:t xml:space="preserve">4. Customer behaviour contributes, but no single loyalty tier explains the decline. </w:t>
      </w:r>
      <w:r>
        <w:t>Silver revenue declined 10.46%, Bronze 5.34% and Unidentified 7.78%, while Gold remained broadly resilient at +0.31%. The pattern differs by store, so customer interventions should be targeted rather than applied uniformly.</w:t>
      </w:r>
    </w:p>
    <w:p w14:paraId="4EEE7F6F" w14:textId="77777777" w:rsidR="00E5582C" w:rsidRDefault="00000000">
      <w:pPr>
        <w:pStyle w:val="Heading2"/>
      </w:pPr>
      <w:r>
        <w:t>Promotion Finding</w:t>
      </w:r>
    </w:p>
    <w:p w14:paraId="2E9B999F" w14:textId="77777777" w:rsidR="00E5582C" w:rsidRDefault="00000000">
      <w:r>
        <w:rPr>
          <w:b/>
        </w:rPr>
        <w:t xml:space="preserve">Pap Power increased volume but weakened profitability. </w:t>
      </w:r>
      <w:r>
        <w:t>In April 2025, Western Cape revenue for Iwisa Super Maize Meal 2.5kg increased 100% versus April 2024 and units sold increased 200%. However, the promotional selling price of R26.66 was below the recorded R28.00 unit cost, producing an estimated negative gross margin on the promoted product. Overall Maize Meal gross margin declined by approximately 32.5%. The promotion therefore succeeded as a volume mechanic, but should not be repeated on the same economics.</w:t>
      </w:r>
    </w:p>
    <w:p w14:paraId="22612980" w14:textId="77777777" w:rsidR="00E5582C" w:rsidRDefault="00000000">
      <w:r>
        <w:br w:type="page"/>
      </w:r>
    </w:p>
    <w:p w14:paraId="0481EAF2" w14:textId="77777777" w:rsidR="00E5582C" w:rsidRDefault="00000000">
      <w:r>
        <w:rPr>
          <w:b/>
          <w:color w:val="005A2B"/>
          <w:sz w:val="36"/>
        </w:rPr>
        <w:lastRenderedPageBreak/>
        <w:t>RECOMMENDATIONS &amp; MANAGEMENT ACTIONS</w:t>
      </w:r>
      <w:r>
        <w:rPr>
          <w:color w:val="666666"/>
        </w:rPr>
        <w:br/>
        <w:t>Actions are prioritised according to the size and clarity of the evidence identified in the investigation.</w:t>
      </w:r>
    </w:p>
    <w:p w14:paraId="071EF86B" w14:textId="77777777" w:rsidR="00E5582C" w:rsidRDefault="00000000">
      <w:pPr>
        <w:pStyle w:val="Heading1"/>
      </w:pPr>
      <w:r>
        <w:t>Priority Actions</w:t>
      </w:r>
    </w:p>
    <w:tbl>
      <w:tblPr>
        <w:tblW w:w="0" w:type="auto"/>
        <w:jc w:val="center"/>
        <w:tblLook w:val="04A0" w:firstRow="1" w:lastRow="0" w:firstColumn="1" w:lastColumn="0" w:noHBand="0" w:noVBand="1"/>
      </w:tblPr>
      <w:tblGrid>
        <w:gridCol w:w="2073"/>
        <w:gridCol w:w="2074"/>
        <w:gridCol w:w="2073"/>
        <w:gridCol w:w="2074"/>
        <w:gridCol w:w="2074"/>
      </w:tblGrid>
      <w:tr w:rsidR="00E5582C" w14:paraId="0960E102" w14:textId="77777777">
        <w:trPr>
          <w:jc w:val="center"/>
        </w:trPr>
        <w:tc>
          <w:tcPr>
            <w:tcW w:w="2074" w:type="dxa"/>
            <w:shd w:val="clear" w:color="auto" w:fill="005A2B"/>
            <w:tcMar>
              <w:top w:w="60" w:type="dxa"/>
              <w:left w:w="60" w:type="dxa"/>
              <w:bottom w:w="60" w:type="dxa"/>
              <w:right w:w="60" w:type="dxa"/>
            </w:tcMar>
          </w:tcPr>
          <w:p w14:paraId="4A2CE4AE" w14:textId="77777777" w:rsidR="00E5582C" w:rsidRDefault="00000000">
            <w:pPr>
              <w:spacing w:after="0" w:line="228" w:lineRule="auto"/>
              <w:jc w:val="center"/>
            </w:pPr>
            <w:r>
              <w:rPr>
                <w:b/>
                <w:color w:val="FFFFFF"/>
                <w:sz w:val="14"/>
              </w:rPr>
              <w:t>Priority</w:t>
            </w:r>
          </w:p>
        </w:tc>
        <w:tc>
          <w:tcPr>
            <w:tcW w:w="2074" w:type="dxa"/>
            <w:shd w:val="clear" w:color="auto" w:fill="005A2B"/>
            <w:tcMar>
              <w:top w:w="60" w:type="dxa"/>
              <w:left w:w="60" w:type="dxa"/>
              <w:bottom w:w="60" w:type="dxa"/>
              <w:right w:w="60" w:type="dxa"/>
            </w:tcMar>
          </w:tcPr>
          <w:p w14:paraId="374DCFD0" w14:textId="77777777" w:rsidR="00E5582C" w:rsidRDefault="00000000">
            <w:pPr>
              <w:spacing w:after="0" w:line="228" w:lineRule="auto"/>
              <w:jc w:val="center"/>
            </w:pPr>
            <w:r>
              <w:rPr>
                <w:b/>
                <w:color w:val="FFFFFF"/>
                <w:sz w:val="14"/>
              </w:rPr>
              <w:t>Action</w:t>
            </w:r>
          </w:p>
        </w:tc>
        <w:tc>
          <w:tcPr>
            <w:tcW w:w="2074" w:type="dxa"/>
            <w:shd w:val="clear" w:color="auto" w:fill="005A2B"/>
            <w:tcMar>
              <w:top w:w="60" w:type="dxa"/>
              <w:left w:w="60" w:type="dxa"/>
              <w:bottom w:w="60" w:type="dxa"/>
              <w:right w:w="60" w:type="dxa"/>
            </w:tcMar>
          </w:tcPr>
          <w:p w14:paraId="3F2A27EB" w14:textId="77777777" w:rsidR="00E5582C" w:rsidRDefault="00000000">
            <w:pPr>
              <w:spacing w:after="0" w:line="228" w:lineRule="auto"/>
              <w:jc w:val="center"/>
            </w:pPr>
            <w:r>
              <w:rPr>
                <w:b/>
                <w:color w:val="FFFFFF"/>
                <w:sz w:val="14"/>
              </w:rPr>
              <w:t>Impact</w:t>
            </w:r>
          </w:p>
        </w:tc>
        <w:tc>
          <w:tcPr>
            <w:tcW w:w="2074" w:type="dxa"/>
            <w:shd w:val="clear" w:color="auto" w:fill="005A2B"/>
            <w:tcMar>
              <w:top w:w="60" w:type="dxa"/>
              <w:left w:w="60" w:type="dxa"/>
              <w:bottom w:w="60" w:type="dxa"/>
              <w:right w:w="60" w:type="dxa"/>
            </w:tcMar>
          </w:tcPr>
          <w:p w14:paraId="4F4A358A" w14:textId="77777777" w:rsidR="00E5582C" w:rsidRDefault="00000000">
            <w:pPr>
              <w:spacing w:after="0" w:line="228" w:lineRule="auto"/>
              <w:jc w:val="center"/>
            </w:pPr>
            <w:r>
              <w:rPr>
                <w:b/>
                <w:color w:val="FFFFFF"/>
                <w:sz w:val="14"/>
              </w:rPr>
              <w:t>Timeframe</w:t>
            </w:r>
          </w:p>
        </w:tc>
        <w:tc>
          <w:tcPr>
            <w:tcW w:w="2074" w:type="dxa"/>
            <w:shd w:val="clear" w:color="auto" w:fill="005A2B"/>
            <w:tcMar>
              <w:top w:w="60" w:type="dxa"/>
              <w:left w:w="60" w:type="dxa"/>
              <w:bottom w:w="60" w:type="dxa"/>
              <w:right w:w="60" w:type="dxa"/>
            </w:tcMar>
          </w:tcPr>
          <w:p w14:paraId="6CF4E0CC" w14:textId="77777777" w:rsidR="00E5582C" w:rsidRDefault="00000000">
            <w:pPr>
              <w:spacing w:after="0" w:line="228" w:lineRule="auto"/>
              <w:jc w:val="center"/>
            </w:pPr>
            <w:r>
              <w:rPr>
                <w:b/>
                <w:color w:val="FFFFFF"/>
                <w:sz w:val="14"/>
              </w:rPr>
              <w:t>Recommended response</w:t>
            </w:r>
          </w:p>
        </w:tc>
      </w:tr>
      <w:tr w:rsidR="00E5582C" w14:paraId="6F024E60" w14:textId="77777777">
        <w:trPr>
          <w:jc w:val="center"/>
        </w:trPr>
        <w:tc>
          <w:tcPr>
            <w:tcW w:w="2074" w:type="dxa"/>
            <w:tcMar>
              <w:top w:w="55" w:type="dxa"/>
              <w:left w:w="55" w:type="dxa"/>
              <w:bottom w:w="55" w:type="dxa"/>
              <w:right w:w="55" w:type="dxa"/>
            </w:tcMar>
          </w:tcPr>
          <w:p w14:paraId="64A4B69B" w14:textId="77777777" w:rsidR="00E5582C" w:rsidRDefault="00000000">
            <w:pPr>
              <w:spacing w:after="0" w:line="228" w:lineRule="auto"/>
              <w:jc w:val="center"/>
            </w:pPr>
            <w:r>
              <w:rPr>
                <w:b/>
                <w:color w:val="005A2B"/>
                <w:sz w:val="14"/>
              </w:rPr>
              <w:t>1</w:t>
            </w:r>
          </w:p>
        </w:tc>
        <w:tc>
          <w:tcPr>
            <w:tcW w:w="2074" w:type="dxa"/>
            <w:tcMar>
              <w:top w:w="55" w:type="dxa"/>
              <w:left w:w="55" w:type="dxa"/>
              <w:bottom w:w="55" w:type="dxa"/>
              <w:right w:w="55" w:type="dxa"/>
            </w:tcMar>
          </w:tcPr>
          <w:p w14:paraId="1DFE50F2" w14:textId="77777777" w:rsidR="00E5582C" w:rsidRDefault="00000000">
            <w:pPr>
              <w:spacing w:after="0" w:line="228" w:lineRule="auto"/>
            </w:pPr>
            <w:r>
              <w:rPr>
                <w:b/>
                <w:sz w:val="14"/>
              </w:rPr>
              <w:t>Address Bellville underperformance</w:t>
            </w:r>
          </w:p>
        </w:tc>
        <w:tc>
          <w:tcPr>
            <w:tcW w:w="2074" w:type="dxa"/>
            <w:tcMar>
              <w:top w:w="55" w:type="dxa"/>
              <w:left w:w="55" w:type="dxa"/>
              <w:bottom w:w="55" w:type="dxa"/>
              <w:right w:w="55" w:type="dxa"/>
            </w:tcMar>
          </w:tcPr>
          <w:p w14:paraId="40741853" w14:textId="77777777" w:rsidR="00E5582C" w:rsidRDefault="00000000">
            <w:pPr>
              <w:spacing w:after="0" w:line="228" w:lineRule="auto"/>
              <w:jc w:val="center"/>
            </w:pPr>
            <w:r>
              <w:rPr>
                <w:sz w:val="14"/>
              </w:rPr>
              <w:t>High</w:t>
            </w:r>
          </w:p>
        </w:tc>
        <w:tc>
          <w:tcPr>
            <w:tcW w:w="2074" w:type="dxa"/>
            <w:tcMar>
              <w:top w:w="55" w:type="dxa"/>
              <w:left w:w="55" w:type="dxa"/>
              <w:bottom w:w="55" w:type="dxa"/>
              <w:right w:w="55" w:type="dxa"/>
            </w:tcMar>
          </w:tcPr>
          <w:p w14:paraId="40D5FBC6" w14:textId="77777777" w:rsidR="00E5582C" w:rsidRDefault="00000000">
            <w:pPr>
              <w:spacing w:after="0" w:line="228" w:lineRule="auto"/>
              <w:jc w:val="center"/>
            </w:pPr>
            <w:r>
              <w:rPr>
                <w:sz w:val="14"/>
              </w:rPr>
              <w:t>0–3 months</w:t>
            </w:r>
          </w:p>
        </w:tc>
        <w:tc>
          <w:tcPr>
            <w:tcW w:w="2074" w:type="dxa"/>
            <w:tcMar>
              <w:top w:w="55" w:type="dxa"/>
              <w:left w:w="55" w:type="dxa"/>
              <w:bottom w:w="55" w:type="dxa"/>
              <w:right w:w="55" w:type="dxa"/>
            </w:tcMar>
          </w:tcPr>
          <w:p w14:paraId="6C28A9AD" w14:textId="77777777" w:rsidR="00E5582C" w:rsidRDefault="00000000">
            <w:pPr>
              <w:spacing w:after="0" w:line="228" w:lineRule="auto"/>
            </w:pPr>
            <w:r>
              <w:rPr>
                <w:sz w:val="14"/>
              </w:rPr>
              <w:t>Run a focused store diagnostic covering availability, merchandising, customer experience and conversion. Bellville accounts for approximately 83% of Western Cape’s net revenue decline.</w:t>
            </w:r>
          </w:p>
        </w:tc>
      </w:tr>
      <w:tr w:rsidR="00E5582C" w14:paraId="6AED3120" w14:textId="77777777">
        <w:trPr>
          <w:jc w:val="center"/>
        </w:trPr>
        <w:tc>
          <w:tcPr>
            <w:tcW w:w="2074" w:type="dxa"/>
            <w:tcMar>
              <w:top w:w="55" w:type="dxa"/>
              <w:left w:w="55" w:type="dxa"/>
              <w:bottom w:w="55" w:type="dxa"/>
              <w:right w:w="55" w:type="dxa"/>
            </w:tcMar>
          </w:tcPr>
          <w:p w14:paraId="4685B4E2" w14:textId="77777777" w:rsidR="00E5582C" w:rsidRDefault="00000000">
            <w:pPr>
              <w:spacing w:after="0" w:line="228" w:lineRule="auto"/>
              <w:jc w:val="center"/>
            </w:pPr>
            <w:r>
              <w:rPr>
                <w:b/>
                <w:color w:val="005A2B"/>
                <w:sz w:val="14"/>
              </w:rPr>
              <w:t>2</w:t>
            </w:r>
          </w:p>
        </w:tc>
        <w:tc>
          <w:tcPr>
            <w:tcW w:w="2074" w:type="dxa"/>
            <w:tcMar>
              <w:top w:w="55" w:type="dxa"/>
              <w:left w:w="55" w:type="dxa"/>
              <w:bottom w:w="55" w:type="dxa"/>
              <w:right w:w="55" w:type="dxa"/>
            </w:tcMar>
          </w:tcPr>
          <w:p w14:paraId="12790D42" w14:textId="77777777" w:rsidR="00E5582C" w:rsidRDefault="00000000">
            <w:pPr>
              <w:spacing w:after="0" w:line="228" w:lineRule="auto"/>
            </w:pPr>
            <w:r>
              <w:rPr>
                <w:b/>
                <w:sz w:val="14"/>
              </w:rPr>
              <w:t>Increase basket size in Groceries &amp; Household</w:t>
            </w:r>
          </w:p>
        </w:tc>
        <w:tc>
          <w:tcPr>
            <w:tcW w:w="2074" w:type="dxa"/>
            <w:tcMar>
              <w:top w:w="55" w:type="dxa"/>
              <w:left w:w="55" w:type="dxa"/>
              <w:bottom w:w="55" w:type="dxa"/>
              <w:right w:w="55" w:type="dxa"/>
            </w:tcMar>
          </w:tcPr>
          <w:p w14:paraId="48FE5792" w14:textId="77777777" w:rsidR="00E5582C" w:rsidRDefault="00000000">
            <w:pPr>
              <w:spacing w:after="0" w:line="228" w:lineRule="auto"/>
              <w:jc w:val="center"/>
            </w:pPr>
            <w:r>
              <w:rPr>
                <w:sz w:val="14"/>
              </w:rPr>
              <w:t>High</w:t>
            </w:r>
          </w:p>
        </w:tc>
        <w:tc>
          <w:tcPr>
            <w:tcW w:w="2074" w:type="dxa"/>
            <w:tcMar>
              <w:top w:w="55" w:type="dxa"/>
              <w:left w:w="55" w:type="dxa"/>
              <w:bottom w:w="55" w:type="dxa"/>
              <w:right w:w="55" w:type="dxa"/>
            </w:tcMar>
          </w:tcPr>
          <w:p w14:paraId="60725786" w14:textId="77777777" w:rsidR="00E5582C" w:rsidRDefault="00000000">
            <w:pPr>
              <w:spacing w:after="0" w:line="228" w:lineRule="auto"/>
              <w:jc w:val="center"/>
            </w:pPr>
            <w:r>
              <w:rPr>
                <w:sz w:val="14"/>
              </w:rPr>
              <w:t>0–3 months</w:t>
            </w:r>
          </w:p>
        </w:tc>
        <w:tc>
          <w:tcPr>
            <w:tcW w:w="2074" w:type="dxa"/>
            <w:tcMar>
              <w:top w:w="55" w:type="dxa"/>
              <w:left w:w="55" w:type="dxa"/>
              <w:bottom w:w="55" w:type="dxa"/>
              <w:right w:w="55" w:type="dxa"/>
            </w:tcMar>
          </w:tcPr>
          <w:p w14:paraId="1D94A791" w14:textId="77777777" w:rsidR="00E5582C" w:rsidRDefault="00000000">
            <w:pPr>
              <w:spacing w:after="0" w:line="228" w:lineRule="auto"/>
            </w:pPr>
            <w:r>
              <w:rPr>
                <w:sz w:val="14"/>
              </w:rPr>
              <w:t>Test bundles, cross-selling and basket-building offers around complementary products. Track average basket value, items per basket, units sold and category revenue.</w:t>
            </w:r>
          </w:p>
        </w:tc>
      </w:tr>
      <w:tr w:rsidR="00E5582C" w14:paraId="4DDF0D38" w14:textId="77777777">
        <w:trPr>
          <w:jc w:val="center"/>
        </w:trPr>
        <w:tc>
          <w:tcPr>
            <w:tcW w:w="2074" w:type="dxa"/>
            <w:tcMar>
              <w:top w:w="55" w:type="dxa"/>
              <w:left w:w="55" w:type="dxa"/>
              <w:bottom w:w="55" w:type="dxa"/>
              <w:right w:w="55" w:type="dxa"/>
            </w:tcMar>
          </w:tcPr>
          <w:p w14:paraId="28829575" w14:textId="77777777" w:rsidR="00E5582C" w:rsidRDefault="00000000">
            <w:pPr>
              <w:spacing w:after="0" w:line="228" w:lineRule="auto"/>
              <w:jc w:val="center"/>
            </w:pPr>
            <w:r>
              <w:rPr>
                <w:b/>
                <w:color w:val="005A2B"/>
                <w:sz w:val="14"/>
              </w:rPr>
              <w:t>3</w:t>
            </w:r>
          </w:p>
        </w:tc>
        <w:tc>
          <w:tcPr>
            <w:tcW w:w="2074" w:type="dxa"/>
            <w:tcMar>
              <w:top w:w="55" w:type="dxa"/>
              <w:left w:w="55" w:type="dxa"/>
              <w:bottom w:w="55" w:type="dxa"/>
              <w:right w:w="55" w:type="dxa"/>
            </w:tcMar>
          </w:tcPr>
          <w:p w14:paraId="34AC74A8" w14:textId="77777777" w:rsidR="00E5582C" w:rsidRDefault="00000000">
            <w:pPr>
              <w:spacing w:after="0" w:line="228" w:lineRule="auto"/>
            </w:pPr>
            <w:r>
              <w:rPr>
                <w:b/>
                <w:sz w:val="14"/>
              </w:rPr>
              <w:t>Target Silver &amp; Unidentified customers</w:t>
            </w:r>
          </w:p>
        </w:tc>
        <w:tc>
          <w:tcPr>
            <w:tcW w:w="2074" w:type="dxa"/>
            <w:tcMar>
              <w:top w:w="55" w:type="dxa"/>
              <w:left w:w="55" w:type="dxa"/>
              <w:bottom w:w="55" w:type="dxa"/>
              <w:right w:w="55" w:type="dxa"/>
            </w:tcMar>
          </w:tcPr>
          <w:p w14:paraId="570431FD" w14:textId="77777777" w:rsidR="00E5582C" w:rsidRDefault="00000000">
            <w:pPr>
              <w:spacing w:after="0" w:line="228" w:lineRule="auto"/>
              <w:jc w:val="center"/>
            </w:pPr>
            <w:r>
              <w:rPr>
                <w:sz w:val="14"/>
              </w:rPr>
              <w:t>Medium</w:t>
            </w:r>
          </w:p>
        </w:tc>
        <w:tc>
          <w:tcPr>
            <w:tcW w:w="2074" w:type="dxa"/>
            <w:tcMar>
              <w:top w:w="55" w:type="dxa"/>
              <w:left w:w="55" w:type="dxa"/>
              <w:bottom w:w="55" w:type="dxa"/>
              <w:right w:w="55" w:type="dxa"/>
            </w:tcMar>
          </w:tcPr>
          <w:p w14:paraId="56FE9266" w14:textId="77777777" w:rsidR="00E5582C" w:rsidRDefault="00000000">
            <w:pPr>
              <w:spacing w:after="0" w:line="228" w:lineRule="auto"/>
              <w:jc w:val="center"/>
            </w:pPr>
            <w:r>
              <w:rPr>
                <w:sz w:val="14"/>
              </w:rPr>
              <w:t>0–3 months</w:t>
            </w:r>
          </w:p>
        </w:tc>
        <w:tc>
          <w:tcPr>
            <w:tcW w:w="2074" w:type="dxa"/>
            <w:tcMar>
              <w:top w:w="55" w:type="dxa"/>
              <w:left w:w="55" w:type="dxa"/>
              <w:bottom w:w="55" w:type="dxa"/>
              <w:right w:w="55" w:type="dxa"/>
            </w:tcMar>
          </w:tcPr>
          <w:p w14:paraId="7F432493" w14:textId="77777777" w:rsidR="00E5582C" w:rsidRDefault="00000000">
            <w:pPr>
              <w:spacing w:after="0" w:line="228" w:lineRule="auto"/>
            </w:pPr>
            <w:r>
              <w:rPr>
                <w:sz w:val="14"/>
              </w:rPr>
              <w:t>Develop targeted Silver retention offers and encourage customer identification/loyalty sign-up where appropriate. Monitor transaction frequency and basket behaviour by segment.</w:t>
            </w:r>
          </w:p>
        </w:tc>
      </w:tr>
      <w:tr w:rsidR="00E5582C" w14:paraId="00A04DE4" w14:textId="77777777">
        <w:trPr>
          <w:jc w:val="center"/>
        </w:trPr>
        <w:tc>
          <w:tcPr>
            <w:tcW w:w="2074" w:type="dxa"/>
            <w:tcMar>
              <w:top w:w="55" w:type="dxa"/>
              <w:left w:w="55" w:type="dxa"/>
              <w:bottom w:w="55" w:type="dxa"/>
              <w:right w:w="55" w:type="dxa"/>
            </w:tcMar>
          </w:tcPr>
          <w:p w14:paraId="010AF3E4" w14:textId="77777777" w:rsidR="00E5582C" w:rsidRDefault="00000000">
            <w:pPr>
              <w:spacing w:after="0" w:line="228" w:lineRule="auto"/>
              <w:jc w:val="center"/>
            </w:pPr>
            <w:r>
              <w:rPr>
                <w:b/>
                <w:color w:val="005A2B"/>
                <w:sz w:val="14"/>
              </w:rPr>
              <w:t>4</w:t>
            </w:r>
          </w:p>
        </w:tc>
        <w:tc>
          <w:tcPr>
            <w:tcW w:w="2074" w:type="dxa"/>
            <w:tcMar>
              <w:top w:w="55" w:type="dxa"/>
              <w:left w:w="55" w:type="dxa"/>
              <w:bottom w:w="55" w:type="dxa"/>
              <w:right w:w="55" w:type="dxa"/>
            </w:tcMar>
          </w:tcPr>
          <w:p w14:paraId="1C3B1D70" w14:textId="77777777" w:rsidR="00E5582C" w:rsidRDefault="00000000">
            <w:pPr>
              <w:spacing w:after="0" w:line="228" w:lineRule="auto"/>
            </w:pPr>
            <w:r>
              <w:rPr>
                <w:b/>
                <w:sz w:val="14"/>
              </w:rPr>
              <w:t>Optimise promotion economics</w:t>
            </w:r>
          </w:p>
        </w:tc>
        <w:tc>
          <w:tcPr>
            <w:tcW w:w="2074" w:type="dxa"/>
            <w:tcMar>
              <w:top w:w="55" w:type="dxa"/>
              <w:left w:w="55" w:type="dxa"/>
              <w:bottom w:w="55" w:type="dxa"/>
              <w:right w:w="55" w:type="dxa"/>
            </w:tcMar>
          </w:tcPr>
          <w:p w14:paraId="22E52097" w14:textId="77777777" w:rsidR="00E5582C" w:rsidRDefault="00000000">
            <w:pPr>
              <w:spacing w:after="0" w:line="228" w:lineRule="auto"/>
              <w:jc w:val="center"/>
            </w:pPr>
            <w:r>
              <w:rPr>
                <w:sz w:val="14"/>
              </w:rPr>
              <w:t>Medium</w:t>
            </w:r>
          </w:p>
        </w:tc>
        <w:tc>
          <w:tcPr>
            <w:tcW w:w="2074" w:type="dxa"/>
            <w:tcMar>
              <w:top w:w="55" w:type="dxa"/>
              <w:left w:w="55" w:type="dxa"/>
              <w:bottom w:w="55" w:type="dxa"/>
              <w:right w:w="55" w:type="dxa"/>
            </w:tcMar>
          </w:tcPr>
          <w:p w14:paraId="4B200A19" w14:textId="77777777" w:rsidR="00E5582C" w:rsidRDefault="00000000">
            <w:pPr>
              <w:spacing w:after="0" w:line="228" w:lineRule="auto"/>
              <w:jc w:val="center"/>
            </w:pPr>
            <w:r>
              <w:rPr>
                <w:sz w:val="14"/>
              </w:rPr>
              <w:t>3–6 months</w:t>
            </w:r>
          </w:p>
        </w:tc>
        <w:tc>
          <w:tcPr>
            <w:tcW w:w="2074" w:type="dxa"/>
            <w:tcMar>
              <w:top w:w="55" w:type="dxa"/>
              <w:left w:w="55" w:type="dxa"/>
              <w:bottom w:w="55" w:type="dxa"/>
              <w:right w:w="55" w:type="dxa"/>
            </w:tcMar>
          </w:tcPr>
          <w:p w14:paraId="27303CFC" w14:textId="77777777" w:rsidR="00E5582C" w:rsidRDefault="00000000">
            <w:pPr>
              <w:spacing w:after="0" w:line="228" w:lineRule="auto"/>
            </w:pPr>
            <w:r>
              <w:rPr>
                <w:sz w:val="14"/>
              </w:rPr>
              <w:t>Retain the demand-generation lesson from Pap Power, but redesign future offers with margin guardrails. Evaluate volume uplift together with gross margin before scaling.</w:t>
            </w:r>
          </w:p>
        </w:tc>
      </w:tr>
    </w:tbl>
    <w:p w14:paraId="20D8DC1A" w14:textId="77777777" w:rsidR="00E5582C" w:rsidRDefault="00000000">
      <w:pPr>
        <w:pStyle w:val="Heading1"/>
      </w:pPr>
      <w:r>
        <w:t>Recommended Management Focus</w:t>
      </w:r>
    </w:p>
    <w:p w14:paraId="3A8094BC" w14:textId="77777777" w:rsidR="00E5582C" w:rsidRDefault="00000000">
      <w:r>
        <w:rPr>
          <w:b/>
        </w:rPr>
        <w:t xml:space="preserve">Prioritise Bellville, address declining basket size in Groceries and Household, and strengthen engagement with Silver and Unidentified customers. </w:t>
      </w:r>
      <w:r>
        <w:t>Test and optimise targeted promotions to support these actions and monitor recovery through revenue, basket size, units sold and transaction trends. Resources should be concentrated on the stores and segments with demonstrated deterioration rather than applying province-wide interventions.</w:t>
      </w:r>
    </w:p>
    <w:p w14:paraId="71D6B39E" w14:textId="77777777" w:rsidR="00E5582C" w:rsidRDefault="00000000">
      <w:pPr>
        <w:pStyle w:val="Heading2"/>
      </w:pPr>
      <w:r>
        <w:rPr>
          <w:sz w:val="20"/>
        </w:rPr>
        <w:t>Monitoring</w:t>
      </w:r>
    </w:p>
    <w:p w14:paraId="54B5A949" w14:textId="77777777" w:rsidR="00E5582C" w:rsidRDefault="00000000">
      <w:pPr>
        <w:ind w:left="259" w:hanging="173"/>
      </w:pPr>
      <w:r>
        <w:t>• Track store revenue/YoY, basket value, items per basket and units sold.</w:t>
      </w:r>
    </w:p>
    <w:p w14:paraId="582C3D25" w14:textId="77777777" w:rsidR="00E5582C" w:rsidRDefault="00000000">
      <w:pPr>
        <w:ind w:left="259" w:hanging="173"/>
      </w:pPr>
      <w:r>
        <w:t>• Monitor Groceries/Household and Silver/Unidentified segment performance.</w:t>
      </w:r>
    </w:p>
    <w:p w14:paraId="3432964C" w14:textId="77777777" w:rsidR="00E5582C" w:rsidRDefault="00000000">
      <w:pPr>
        <w:ind w:left="259" w:hanging="173"/>
      </w:pPr>
      <w:r>
        <w:t>• Evaluate promotions on both demand uplift and estimated gross margin.</w:t>
      </w:r>
    </w:p>
    <w:p w14:paraId="13BCC3FE" w14:textId="77777777" w:rsidR="00E5582C" w:rsidRDefault="00000000">
      <w:pPr>
        <w:pStyle w:val="Heading1"/>
      </w:pPr>
      <w:r>
        <w:t>Decision Summary</w:t>
      </w:r>
    </w:p>
    <w:tbl>
      <w:tblPr>
        <w:tblW w:w="0" w:type="auto"/>
        <w:tblLook w:val="04A0" w:firstRow="1" w:lastRow="0" w:firstColumn="1" w:lastColumn="0" w:noHBand="0" w:noVBand="1"/>
      </w:tblPr>
      <w:tblGrid>
        <w:gridCol w:w="10368"/>
      </w:tblGrid>
      <w:tr w:rsidR="00E5582C" w14:paraId="608FC8B3" w14:textId="77777777">
        <w:tc>
          <w:tcPr>
            <w:tcW w:w="10368" w:type="dxa"/>
            <w:shd w:val="clear" w:color="auto" w:fill="EAF4EC"/>
            <w:tcMar>
              <w:top w:w="100" w:type="dxa"/>
              <w:left w:w="110" w:type="dxa"/>
              <w:bottom w:w="100" w:type="dxa"/>
              <w:right w:w="110" w:type="dxa"/>
            </w:tcMar>
          </w:tcPr>
          <w:p w14:paraId="4BB7ADB5" w14:textId="79951DFE" w:rsidR="00E5582C" w:rsidRDefault="00000000">
            <w:r>
              <w:rPr>
                <w:b/>
                <w:color w:val="005A2B"/>
              </w:rPr>
              <w:t xml:space="preserve">The Western Cape decline does not require a blanket regional response. </w:t>
            </w:r>
            <w:r>
              <w:t xml:space="preserve">The evidence supports a focused recovery plan </w:t>
            </w:r>
            <w:proofErr w:type="spellStart"/>
            <w:r>
              <w:t>centred</w:t>
            </w:r>
            <w:proofErr w:type="spellEnd"/>
            <w:r>
              <w:t xml:space="preserve"> on underperforming stores</w:t>
            </w:r>
            <w:r w:rsidR="00591B8B">
              <w:t xml:space="preserve">, </w:t>
            </w:r>
            <w:r>
              <w:t>especially Bellville</w:t>
            </w:r>
            <w:r w:rsidR="00591B8B">
              <w:t xml:space="preserve">, </w:t>
            </w:r>
            <w:r>
              <w:t>smaller baskets in Groceries and Household, and weakening Silver/Unidentified customer performance. Pap Power demonstrates that promotions can stimulate demand, but future campaigns should be designed with explicit profitability thresholds.</w:t>
            </w:r>
          </w:p>
        </w:tc>
      </w:tr>
    </w:tbl>
    <w:p w14:paraId="071373F7" w14:textId="77777777" w:rsidR="00E5582C" w:rsidRDefault="00000000">
      <w:pPr>
        <w:pStyle w:val="Heading2"/>
      </w:pPr>
      <w:r>
        <w:t>Scope and Interpretation</w:t>
      </w:r>
    </w:p>
    <w:p w14:paraId="105484A7" w14:textId="77777777" w:rsidR="00E5582C" w:rsidRDefault="00000000">
      <w:r>
        <w:rPr>
          <w:b/>
        </w:rPr>
        <w:t xml:space="preserve">The analysis compares January–June 2025 with January–June 2024. </w:t>
      </w:r>
      <w:r>
        <w:t>Transaction count represents completed purchases and should not be interpreted as direct foot traffic. Transactions without a customer ID were retained and labelled “Unidentified”; this does not imply that they are non-loyalty customers. Revenue was calculated as quantity × unit_price_at_sale, with discounts not deducted a second time.</w:t>
      </w:r>
    </w:p>
    <w:sectPr w:rsidR="00E5582C" w:rsidSect="00034616">
      <w:footerReference w:type="default" r:id="rId8"/>
      <w:pgSz w:w="12240" w:h="15840"/>
      <w:pgMar w:top="792" w:right="936" w:bottom="72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763C8" w14:textId="77777777" w:rsidR="00490AE5" w:rsidRDefault="00490AE5">
      <w:pPr>
        <w:spacing w:after="0"/>
      </w:pPr>
      <w:r>
        <w:separator/>
      </w:r>
    </w:p>
  </w:endnote>
  <w:endnote w:type="continuationSeparator" w:id="0">
    <w:p w14:paraId="555BB761" w14:textId="77777777" w:rsidR="00490AE5" w:rsidRDefault="00490A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F441A" w14:textId="77777777" w:rsidR="00E5582C" w:rsidRDefault="00000000">
    <w:pPr>
      <w:pStyle w:val="Footer"/>
      <w:jc w:val="center"/>
    </w:pPr>
    <w:proofErr w:type="spellStart"/>
    <w:r>
      <w:rPr>
        <w:color w:val="666666"/>
        <w:sz w:val="15"/>
      </w:rPr>
      <w:t>Imbewu</w:t>
    </w:r>
    <w:proofErr w:type="spellEnd"/>
    <w:r>
      <w:rPr>
        <w:color w:val="666666"/>
        <w:sz w:val="15"/>
      </w:rPr>
      <w:t xml:space="preserve"> Retail • Executive 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F25BA" w14:textId="77777777" w:rsidR="00490AE5" w:rsidRDefault="00490AE5">
      <w:pPr>
        <w:spacing w:after="0"/>
      </w:pPr>
      <w:r>
        <w:separator/>
      </w:r>
    </w:p>
  </w:footnote>
  <w:footnote w:type="continuationSeparator" w:id="0">
    <w:p w14:paraId="45D91C7E" w14:textId="77777777" w:rsidR="00490AE5" w:rsidRDefault="00490AE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9775982">
    <w:abstractNumId w:val="8"/>
  </w:num>
  <w:num w:numId="2" w16cid:durableId="2105688280">
    <w:abstractNumId w:val="6"/>
  </w:num>
  <w:num w:numId="3" w16cid:durableId="668949435">
    <w:abstractNumId w:val="5"/>
  </w:num>
  <w:num w:numId="4" w16cid:durableId="109594011">
    <w:abstractNumId w:val="4"/>
  </w:num>
  <w:num w:numId="5" w16cid:durableId="2064936907">
    <w:abstractNumId w:val="7"/>
  </w:num>
  <w:num w:numId="6" w16cid:durableId="1973246695">
    <w:abstractNumId w:val="3"/>
  </w:num>
  <w:num w:numId="7" w16cid:durableId="1904635709">
    <w:abstractNumId w:val="2"/>
  </w:num>
  <w:num w:numId="8" w16cid:durableId="644971818">
    <w:abstractNumId w:val="1"/>
  </w:num>
  <w:num w:numId="9" w16cid:durableId="102814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2725"/>
    <w:rsid w:val="00326F90"/>
    <w:rsid w:val="00490AE5"/>
    <w:rsid w:val="00591B8B"/>
    <w:rsid w:val="00AA1D8D"/>
    <w:rsid w:val="00B47730"/>
    <w:rsid w:val="00C45EB4"/>
    <w:rsid w:val="00CB0664"/>
    <w:rsid w:val="00E558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52B18"/>
  <w14:defaultImageDpi w14:val="300"/>
  <w15:docId w15:val="{CE28D319-B0D5-4370-8A44-65FECE553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b/>
      <w:bCs/>
      <w:color w:val="005A2B"/>
      <w:sz w:val="28"/>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b/>
      <w:bCs/>
      <w:color w:val="005A2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80" w:after="80"/>
      <w:contextualSpacing/>
    </w:pPr>
    <w:rPr>
      <w:rFonts w:asciiTheme="majorHAnsi" w:eastAsiaTheme="majorEastAsia" w:hAnsiTheme="majorHAnsi" w:cstheme="majorBidi"/>
      <w:b/>
      <w:color w:val="005A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PILabel">
    <w:name w:val="KPI Label"/>
    <w:rPr>
      <w:rFonts w:ascii="Aptos" w:hAnsi="Aptos"/>
      <w:color w:val="666666"/>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752</Words>
  <Characters>4289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S'lindokuhle Khoza</cp:lastModifiedBy>
  <cp:revision>2</cp:revision>
  <dcterms:created xsi:type="dcterms:W3CDTF">2026-08-31T21:56:00Z</dcterms:created>
  <dcterms:modified xsi:type="dcterms:W3CDTF">2026-08-31T21:56:00Z</dcterms:modified>
  <cp:category/>
</cp:coreProperties>
</file>