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DBC05" w14:textId="10C0FEDF" w:rsidR="000F19B3" w:rsidRPr="00011760" w:rsidRDefault="007B6946" w:rsidP="00FE55A8">
      <w:pPr>
        <w:snapToGrid w:val="0"/>
        <w:spacing w:line="480" w:lineRule="exact"/>
        <w:ind w:left="482" w:hanging="482"/>
        <w:jc w:val="center"/>
        <w:rPr>
          <w:rFonts w:ascii="微軟正黑體" w:eastAsia="微軟正黑體" w:hAnsi="微軟正黑體"/>
          <w:b/>
          <w:sz w:val="40"/>
          <w:szCs w:val="40"/>
        </w:rPr>
      </w:pPr>
      <w:r w:rsidRPr="00011760">
        <w:rPr>
          <w:rFonts w:ascii="微軟正黑體" w:eastAsia="微軟正黑體" w:hAnsi="微軟正黑體" w:hint="eastAsia"/>
          <w:b/>
          <w:sz w:val="40"/>
          <w:szCs w:val="40"/>
        </w:rPr>
        <w:t>署長接受</w:t>
      </w:r>
      <w:r w:rsidR="000F19B3" w:rsidRPr="00011760">
        <w:rPr>
          <w:rFonts w:ascii="微軟正黑體" w:eastAsia="微軟正黑體" w:hAnsi="微軟正黑體" w:hint="eastAsia"/>
          <w:b/>
          <w:sz w:val="40"/>
          <w:szCs w:val="40"/>
        </w:rPr>
        <w:t>自由時報專訪</w:t>
      </w:r>
      <w:r w:rsidR="009A7BD7" w:rsidRPr="00011760">
        <w:rPr>
          <w:rFonts w:ascii="微軟正黑體" w:eastAsia="微軟正黑體" w:hAnsi="微軟正黑體" w:hint="eastAsia"/>
          <w:b/>
          <w:sz w:val="40"/>
          <w:szCs w:val="40"/>
        </w:rPr>
        <w:t>之訪談資料</w:t>
      </w:r>
      <w:bookmarkStart w:id="0" w:name="_GoBack"/>
      <w:bookmarkEnd w:id="0"/>
      <w:r w:rsidR="009A7BD7" w:rsidRPr="00011760">
        <w:rPr>
          <w:rFonts w:ascii="微軟正黑體" w:eastAsia="微軟正黑體" w:hAnsi="微軟正黑體" w:hint="eastAsia"/>
          <w:b/>
          <w:sz w:val="40"/>
          <w:szCs w:val="40"/>
        </w:rPr>
        <w:t>說明</w:t>
      </w:r>
    </w:p>
    <w:p w14:paraId="5FF3E8EF" w14:textId="6FCFCD3E" w:rsidR="009C762C" w:rsidRPr="00900B44" w:rsidRDefault="002A5DBF" w:rsidP="00DC108E">
      <w:pPr>
        <w:pStyle w:val="a7"/>
        <w:numPr>
          <w:ilvl w:val="0"/>
          <w:numId w:val="2"/>
        </w:numPr>
        <w:snapToGrid w:val="0"/>
        <w:spacing w:before="100" w:beforeAutospacing="1" w:line="480" w:lineRule="exact"/>
        <w:ind w:leftChars="0" w:left="482" w:hanging="482"/>
        <w:rPr>
          <w:rFonts w:ascii="微軟正黑體" w:eastAsia="微軟正黑體" w:hAnsi="微軟正黑體"/>
          <w:b/>
          <w:sz w:val="32"/>
          <w:szCs w:val="32"/>
        </w:rPr>
      </w:pPr>
      <w:r w:rsidRPr="00900B44">
        <w:rPr>
          <w:rFonts w:ascii="微軟正黑體" w:eastAsia="微軟正黑體" w:hAnsi="微軟正黑體" w:hint="eastAsia"/>
          <w:b/>
          <w:sz w:val="32"/>
          <w:szCs w:val="32"/>
        </w:rPr>
        <w:t>議題四、健保財務分析及節制資源不當使用</w:t>
      </w:r>
      <w:r w:rsidR="00DC2848" w:rsidRPr="00900B44">
        <w:rPr>
          <w:rFonts w:ascii="微軟正黑體" w:eastAsia="微軟正黑體" w:hAnsi="微軟正黑體" w:hint="eastAsia"/>
          <w:b/>
          <w:sz w:val="32"/>
          <w:szCs w:val="32"/>
        </w:rPr>
        <w:t>：</w:t>
      </w:r>
    </w:p>
    <w:p w14:paraId="2D4FC238" w14:textId="39581293" w:rsidR="00900B44" w:rsidRPr="006C2C1B" w:rsidRDefault="00411026" w:rsidP="005C5177">
      <w:pPr>
        <w:pStyle w:val="a7"/>
        <w:numPr>
          <w:ilvl w:val="0"/>
          <w:numId w:val="7"/>
        </w:numPr>
        <w:snapToGrid w:val="0"/>
        <w:spacing w:before="100" w:beforeAutospacing="1" w:line="3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藥品</w:t>
      </w:r>
      <w:r w:rsidR="00DC108E" w:rsidRPr="006C2C1B">
        <w:rPr>
          <w:rFonts w:ascii="微軟正黑體" w:eastAsia="微軟正黑體" w:hAnsi="微軟正黑體" w:hint="eastAsia"/>
          <w:color w:val="0000FF"/>
          <w:sz w:val="28"/>
        </w:rPr>
        <w:t>部分</w:t>
      </w:r>
    </w:p>
    <w:p w14:paraId="6584D1F9" w14:textId="77777777" w:rsidR="00411026" w:rsidRPr="006C2C1B" w:rsidRDefault="00411026" w:rsidP="005C5177">
      <w:pPr>
        <w:pStyle w:val="a7"/>
        <w:suppressAutoHyphens/>
        <w:autoSpaceDN w:val="0"/>
        <w:snapToGrid w:val="0"/>
        <w:spacing w:after="120"/>
        <w:ind w:leftChars="0"/>
        <w:jc w:val="both"/>
        <w:textAlignment w:val="baseline"/>
        <w:rPr>
          <w:rFonts w:ascii="微軟正黑體" w:eastAsia="微軟正黑體" w:hAnsi="微軟正黑體"/>
          <w:color w:val="0000FF"/>
          <w:sz w:val="28"/>
          <w:szCs w:val="28"/>
        </w:rPr>
      </w:pPr>
      <w:r w:rsidRPr="006C2C1B">
        <w:rPr>
          <w:rFonts w:ascii="微軟正黑體" w:eastAsia="微軟正黑體" w:hAnsi="微軟正黑體"/>
          <w:color w:val="0000FF"/>
          <w:sz w:val="28"/>
          <w:szCs w:val="28"/>
        </w:rPr>
        <w:t>面對醫療科技快速進展的時代，健保署強調「依實證合理給付」，透過科學實證評估各項給付項目。藉由醫療科技評估(HTA)，進行人體健康、醫療倫理、醫療成本效益及健保財務等面向評估，以輔助納入健保收載之決策，達精準給付目標，並透過協商議價機制，確保每一分資源得到最有效的運用。此外，運用醫療科技再評估(HTR)，滾動式檢討健保已收載項目，定期對健保給付去蕪存菁及調整相關政策措施，期在兼顧健保財務下，提供民眾更多治療選擇。</w:t>
      </w:r>
    </w:p>
    <w:p w14:paraId="4C2211C4" w14:textId="1E1F151F" w:rsidR="00B92E31" w:rsidRPr="006C2C1B" w:rsidRDefault="00B92E31" w:rsidP="005C5177">
      <w:pPr>
        <w:pStyle w:val="a7"/>
        <w:numPr>
          <w:ilvl w:val="0"/>
          <w:numId w:val="7"/>
        </w:numPr>
        <w:snapToGrid w:val="0"/>
        <w:spacing w:line="520" w:lineRule="exact"/>
        <w:ind w:leftChars="0"/>
        <w:jc w:val="both"/>
        <w:rPr>
          <w:rFonts w:ascii="微軟正黑體" w:eastAsia="微軟正黑體" w:hAnsi="微軟正黑體"/>
          <w:color w:val="0000FF"/>
          <w:sz w:val="28"/>
        </w:rPr>
      </w:pPr>
      <w:r w:rsidRPr="006C2C1B">
        <w:rPr>
          <w:rFonts w:ascii="微軟正黑體" w:eastAsia="微軟正黑體" w:hAnsi="微軟正黑體" w:hint="eastAsia"/>
          <w:color w:val="0000FF"/>
          <w:sz w:val="28"/>
        </w:rPr>
        <w:t>特材</w:t>
      </w:r>
      <w:r w:rsidR="00DC108E" w:rsidRPr="006C2C1B">
        <w:rPr>
          <w:rFonts w:ascii="微軟正黑體" w:eastAsia="微軟正黑體" w:hAnsi="微軟正黑體" w:hint="eastAsia"/>
          <w:color w:val="0000FF"/>
          <w:sz w:val="28"/>
        </w:rPr>
        <w:t>部分</w:t>
      </w:r>
      <w:r w:rsidR="00411026" w:rsidRPr="006C2C1B">
        <w:rPr>
          <w:rFonts w:ascii="微軟正黑體" w:eastAsia="微軟正黑體" w:hAnsi="微軟正黑體" w:hint="eastAsia"/>
          <w:color w:val="0000FF"/>
          <w:sz w:val="28"/>
        </w:rPr>
        <w:t>_</w:t>
      </w:r>
      <w:r w:rsidR="00921A15" w:rsidRPr="006C2C1B">
        <w:rPr>
          <w:rFonts w:ascii="微軟正黑體" w:eastAsia="微軟正黑體" w:hAnsi="微軟正黑體" w:hint="eastAsia"/>
          <w:color w:val="0000FF"/>
          <w:sz w:val="28"/>
        </w:rPr>
        <w:t>就資源</w:t>
      </w:r>
      <w:r w:rsidR="00A60701" w:rsidRPr="006C2C1B">
        <w:rPr>
          <w:rFonts w:ascii="微軟正黑體" w:eastAsia="微軟正黑體" w:hAnsi="微軟正黑體" w:hint="eastAsia"/>
          <w:color w:val="0000FF"/>
          <w:sz w:val="28"/>
        </w:rPr>
        <w:t>合理配置</w:t>
      </w:r>
      <w:r w:rsidR="00921A15" w:rsidRPr="006C2C1B">
        <w:rPr>
          <w:rFonts w:ascii="微軟正黑體" w:eastAsia="微軟正黑體" w:hAnsi="微軟正黑體" w:hint="eastAsia"/>
          <w:color w:val="0000FF"/>
          <w:sz w:val="28"/>
        </w:rPr>
        <w:t>提供說明</w:t>
      </w:r>
    </w:p>
    <w:p w14:paraId="50C4B6E6" w14:textId="492BF3A7" w:rsidR="00921A15" w:rsidRPr="006C2C1B" w:rsidRDefault="00921A15" w:rsidP="005C5177">
      <w:pPr>
        <w:spacing w:line="520" w:lineRule="exact"/>
        <w:ind w:leftChars="100" w:left="240"/>
        <w:jc w:val="both"/>
        <w:rPr>
          <w:rFonts w:ascii="微軟正黑體" w:eastAsia="微軟正黑體" w:hAnsi="微軟正黑體"/>
          <w:b/>
          <w:bCs/>
          <w:color w:val="0000FF"/>
          <w:sz w:val="28"/>
          <w:szCs w:val="28"/>
        </w:rPr>
      </w:pPr>
      <w:r w:rsidRPr="006C2C1B">
        <w:rPr>
          <w:rFonts w:ascii="微軟正黑體" w:eastAsia="微軟正黑體" w:hAnsi="微軟正黑體" w:hint="eastAsia"/>
          <w:b/>
          <w:bCs/>
          <w:color w:val="0000FF"/>
          <w:sz w:val="28"/>
          <w:szCs w:val="28"/>
        </w:rPr>
        <w:t>一、依實證合理給付</w:t>
      </w:r>
      <w:r w:rsidR="00A60701" w:rsidRPr="006C2C1B">
        <w:rPr>
          <w:rFonts w:ascii="微軟正黑體" w:eastAsia="微軟正黑體" w:hAnsi="微軟正黑體" w:hint="eastAsia"/>
          <w:b/>
          <w:bCs/>
          <w:color w:val="0000FF"/>
          <w:sz w:val="28"/>
          <w:szCs w:val="28"/>
        </w:rPr>
        <w:t>：</w:t>
      </w:r>
    </w:p>
    <w:p w14:paraId="59932D55" w14:textId="098EA2D6" w:rsidR="00921A15" w:rsidRPr="006C2C1B" w:rsidRDefault="00A60701" w:rsidP="005C5177">
      <w:pPr>
        <w:spacing w:line="520" w:lineRule="exact"/>
        <w:ind w:leftChars="300" w:left="720"/>
        <w:jc w:val="both"/>
        <w:rPr>
          <w:rFonts w:ascii="微軟正黑體" w:eastAsia="微軟正黑體" w:hAnsi="微軟正黑體"/>
          <w:bCs/>
          <w:color w:val="0000FF"/>
          <w:sz w:val="28"/>
          <w:szCs w:val="28"/>
        </w:rPr>
      </w:pPr>
      <w:r w:rsidRPr="006C2C1B">
        <w:rPr>
          <w:rFonts w:ascii="微軟正黑體" w:eastAsia="微軟正黑體" w:hAnsi="微軟正黑體" w:hint="eastAsia"/>
          <w:bCs/>
          <w:color w:val="0000FF"/>
          <w:sz w:val="28"/>
          <w:szCs w:val="28"/>
        </w:rPr>
        <w:t>健保</w:t>
      </w:r>
      <w:r w:rsidR="00921A15" w:rsidRPr="006C2C1B">
        <w:rPr>
          <w:rFonts w:ascii="微軟正黑體" w:eastAsia="微軟正黑體" w:hAnsi="微軟正黑體" w:hint="eastAsia"/>
          <w:bCs/>
          <w:color w:val="0000FF"/>
          <w:sz w:val="28"/>
          <w:szCs w:val="28"/>
        </w:rPr>
        <w:t>以科學證據及臨床實證作為給付決策基礎，確保納入健保之醫療科技具備臨床價值與合理效益，使有限資源</w:t>
      </w:r>
      <w:r w:rsidRPr="006C2C1B">
        <w:rPr>
          <w:rFonts w:ascii="微軟正黑體" w:eastAsia="微軟正黑體" w:hAnsi="微軟正黑體" w:hint="eastAsia"/>
          <w:bCs/>
          <w:color w:val="0000FF"/>
          <w:sz w:val="28"/>
          <w:szCs w:val="28"/>
        </w:rPr>
        <w:t>能合理使用並</w:t>
      </w:r>
      <w:r w:rsidR="00921A15" w:rsidRPr="006C2C1B">
        <w:rPr>
          <w:rFonts w:ascii="微軟正黑體" w:eastAsia="微軟正黑體" w:hAnsi="微軟正黑體" w:hint="eastAsia"/>
          <w:bCs/>
          <w:color w:val="0000FF"/>
          <w:sz w:val="28"/>
          <w:szCs w:val="28"/>
        </w:rPr>
        <w:t>發揮最大效益。</w:t>
      </w:r>
    </w:p>
    <w:p w14:paraId="03B06547" w14:textId="362F2CE7" w:rsidR="00A60701" w:rsidRPr="006C2C1B" w:rsidRDefault="00921A15" w:rsidP="005C5177">
      <w:pPr>
        <w:spacing w:line="520" w:lineRule="exact"/>
        <w:ind w:leftChars="100" w:left="240"/>
        <w:jc w:val="both"/>
        <w:rPr>
          <w:rFonts w:ascii="微軟正黑體" w:eastAsia="微軟正黑體" w:hAnsi="微軟正黑體"/>
          <w:b/>
          <w:bCs/>
          <w:color w:val="0000FF"/>
          <w:sz w:val="28"/>
          <w:szCs w:val="28"/>
        </w:rPr>
      </w:pPr>
      <w:r w:rsidRPr="006C2C1B">
        <w:rPr>
          <w:rFonts w:ascii="微軟正黑體" w:eastAsia="微軟正黑體" w:hAnsi="微軟正黑體" w:hint="eastAsia"/>
          <w:b/>
          <w:bCs/>
          <w:color w:val="0000FF"/>
          <w:sz w:val="28"/>
          <w:szCs w:val="28"/>
        </w:rPr>
        <w:t>二、</w:t>
      </w:r>
      <w:r w:rsidR="00A60701" w:rsidRPr="006C2C1B">
        <w:rPr>
          <w:rFonts w:ascii="微軟正黑體" w:eastAsia="微軟正黑體" w:hAnsi="微軟正黑體" w:hint="eastAsia"/>
          <w:b/>
          <w:bCs/>
          <w:color w:val="0000FF"/>
          <w:sz w:val="28"/>
          <w:szCs w:val="28"/>
        </w:rPr>
        <w:t>運用醫療科技評估使資源合理配置：</w:t>
      </w:r>
    </w:p>
    <w:p w14:paraId="0CA0D347" w14:textId="42C7BD27" w:rsidR="00921A15" w:rsidRPr="006C2C1B" w:rsidRDefault="00921A15" w:rsidP="005C5177">
      <w:pPr>
        <w:pStyle w:val="a7"/>
        <w:numPr>
          <w:ilvl w:val="0"/>
          <w:numId w:val="4"/>
        </w:numPr>
        <w:spacing w:line="520" w:lineRule="exact"/>
        <w:ind w:leftChars="0"/>
        <w:jc w:val="both"/>
        <w:rPr>
          <w:rFonts w:ascii="微軟正黑體" w:eastAsia="微軟正黑體" w:hAnsi="微軟正黑體"/>
          <w:b/>
          <w:bCs/>
          <w:color w:val="0000FF"/>
          <w:sz w:val="28"/>
          <w:szCs w:val="28"/>
        </w:rPr>
      </w:pPr>
      <w:r w:rsidRPr="006C2C1B">
        <w:rPr>
          <w:rFonts w:ascii="微軟正黑體" w:eastAsia="微軟正黑體" w:hAnsi="微軟正黑體" w:hint="eastAsia"/>
          <w:b/>
          <w:bCs/>
          <w:color w:val="0000FF"/>
          <w:sz w:val="28"/>
          <w:szCs w:val="28"/>
        </w:rPr>
        <w:t>收載前運用醫療科技評估(HTA)：</w:t>
      </w:r>
    </w:p>
    <w:p w14:paraId="7E3EEA78" w14:textId="286A2F2E" w:rsidR="00921A15" w:rsidRPr="006C2C1B" w:rsidRDefault="00921A15" w:rsidP="005C5177">
      <w:pPr>
        <w:spacing w:line="520" w:lineRule="exact"/>
        <w:ind w:leftChars="377" w:left="905" w:firstLine="1"/>
        <w:jc w:val="both"/>
        <w:rPr>
          <w:rFonts w:ascii="微軟正黑體" w:eastAsia="微軟正黑體" w:hAnsi="微軟正黑體"/>
          <w:bCs/>
          <w:color w:val="0000FF"/>
          <w:sz w:val="28"/>
          <w:szCs w:val="28"/>
        </w:rPr>
      </w:pPr>
      <w:r w:rsidRPr="006C2C1B">
        <w:rPr>
          <w:rFonts w:ascii="微軟正黑體" w:eastAsia="微軟正黑體" w:hAnsi="微軟正黑體" w:hint="eastAsia"/>
          <w:bCs/>
          <w:color w:val="0000FF"/>
          <w:sz w:val="28"/>
          <w:szCs w:val="28"/>
        </w:rPr>
        <w:t>在新藥、新特材及新醫療服務納入健保前，透過醫療科技評估（HTA），綜合考量人體健康效益、醫療倫理、成本效益及健保財務影響，作為收載與支付標準訂定的重要依據。</w:t>
      </w:r>
    </w:p>
    <w:p w14:paraId="5819B004" w14:textId="6704F3E9" w:rsidR="00921A15" w:rsidRPr="006C2C1B" w:rsidRDefault="00921A15" w:rsidP="005C5177">
      <w:pPr>
        <w:pStyle w:val="a7"/>
        <w:numPr>
          <w:ilvl w:val="0"/>
          <w:numId w:val="4"/>
        </w:numPr>
        <w:spacing w:line="520" w:lineRule="exact"/>
        <w:ind w:leftChars="0"/>
        <w:jc w:val="both"/>
        <w:rPr>
          <w:rFonts w:ascii="微軟正黑體" w:eastAsia="微軟正黑體" w:hAnsi="微軟正黑體"/>
          <w:b/>
          <w:bCs/>
          <w:color w:val="0000FF"/>
          <w:sz w:val="28"/>
          <w:szCs w:val="28"/>
        </w:rPr>
      </w:pPr>
      <w:r w:rsidRPr="006C2C1B">
        <w:rPr>
          <w:rFonts w:ascii="微軟正黑體" w:eastAsia="微軟正黑體" w:hAnsi="微軟正黑體" w:hint="eastAsia"/>
          <w:b/>
          <w:bCs/>
          <w:color w:val="0000FF"/>
          <w:sz w:val="28"/>
          <w:szCs w:val="28"/>
        </w:rPr>
        <w:t>收載後進行醫療科技再評估(HTR)：</w:t>
      </w:r>
    </w:p>
    <w:p w14:paraId="4EB60091" w14:textId="7C54B110" w:rsidR="00921A15" w:rsidRPr="006C2C1B" w:rsidRDefault="00921A15" w:rsidP="005C5177">
      <w:pPr>
        <w:spacing w:line="520" w:lineRule="exact"/>
        <w:ind w:leftChars="377" w:left="905" w:firstLine="1"/>
        <w:jc w:val="both"/>
        <w:rPr>
          <w:rFonts w:ascii="微軟正黑體" w:eastAsia="微軟正黑體" w:hAnsi="微軟正黑體"/>
          <w:bCs/>
          <w:color w:val="0000FF"/>
          <w:sz w:val="28"/>
          <w:szCs w:val="28"/>
        </w:rPr>
      </w:pPr>
      <w:r w:rsidRPr="006C2C1B">
        <w:rPr>
          <w:rFonts w:ascii="微軟正黑體" w:eastAsia="微軟正黑體" w:hAnsi="微軟正黑體" w:hint="eastAsia"/>
          <w:bCs/>
          <w:color w:val="0000FF"/>
          <w:sz w:val="28"/>
          <w:szCs w:val="28"/>
        </w:rPr>
        <w:t>對已納入健保給付之醫療科技，運用真實世界資料（RWD）及相關研究證據，定期檢視其臨床療效、安全性、成本效益及財務影響，作為調整給付政策之參考。</w:t>
      </w:r>
    </w:p>
    <w:p w14:paraId="492EBC9C" w14:textId="225B374B" w:rsidR="00921A15" w:rsidRPr="006C2C1B" w:rsidRDefault="00921A15" w:rsidP="005C5177">
      <w:pPr>
        <w:pStyle w:val="a7"/>
        <w:numPr>
          <w:ilvl w:val="0"/>
          <w:numId w:val="4"/>
        </w:numPr>
        <w:spacing w:line="520" w:lineRule="exact"/>
        <w:ind w:leftChars="0"/>
        <w:jc w:val="both"/>
        <w:rPr>
          <w:rFonts w:ascii="微軟正黑體" w:eastAsia="微軟正黑體" w:hAnsi="微軟正黑體"/>
          <w:b/>
          <w:bCs/>
          <w:color w:val="0000FF"/>
          <w:sz w:val="28"/>
          <w:szCs w:val="28"/>
        </w:rPr>
      </w:pPr>
      <w:r w:rsidRPr="006C2C1B">
        <w:rPr>
          <w:rFonts w:ascii="微軟正黑體" w:eastAsia="微軟正黑體" w:hAnsi="微軟正黑體" w:hint="eastAsia"/>
          <w:b/>
          <w:bCs/>
          <w:color w:val="0000FF"/>
          <w:sz w:val="28"/>
          <w:szCs w:val="28"/>
        </w:rPr>
        <w:t>構築循環式之醫療科技管理(HTM)：</w:t>
      </w:r>
    </w:p>
    <w:p w14:paraId="4A031EDA" w14:textId="7F62DBDB" w:rsidR="00AA130A" w:rsidRPr="006C2C1B" w:rsidRDefault="00921A15" w:rsidP="005C5177">
      <w:pPr>
        <w:spacing w:line="520" w:lineRule="exact"/>
        <w:ind w:leftChars="377" w:left="905" w:firstLine="1"/>
        <w:jc w:val="both"/>
        <w:rPr>
          <w:rFonts w:ascii="微軟正黑體" w:eastAsia="微軟正黑體" w:hAnsi="微軟正黑體"/>
          <w:bCs/>
          <w:color w:val="0000FF"/>
          <w:sz w:val="28"/>
          <w:szCs w:val="28"/>
        </w:rPr>
      </w:pPr>
      <w:r w:rsidRPr="006C2C1B">
        <w:rPr>
          <w:rFonts w:ascii="微軟正黑體" w:eastAsia="微軟正黑體" w:hAnsi="微軟正黑體" w:hint="eastAsia"/>
          <w:bCs/>
          <w:color w:val="0000FF"/>
          <w:sz w:val="28"/>
          <w:szCs w:val="28"/>
        </w:rPr>
        <w:t>透過收載前之HTA評估、收載後之真實世界資料蒐集及HTR再評估，形成醫療科技給付前至給付後的循環式管理模式，持續優化給付決策，促進健保資源合理配置，提升整體給付效益，並兼顧醫療品質、民眾權益及健保永續發展。</w:t>
      </w:r>
    </w:p>
    <w:p w14:paraId="248724D3" w14:textId="77777777" w:rsidR="00DC108E" w:rsidRPr="006C2C1B" w:rsidRDefault="00DC108E" w:rsidP="00DC108E">
      <w:pPr>
        <w:pStyle w:val="a7"/>
        <w:numPr>
          <w:ilvl w:val="0"/>
          <w:numId w:val="7"/>
        </w:numPr>
        <w:spacing w:line="520" w:lineRule="exact"/>
        <w:ind w:leftChars="0"/>
        <w:jc w:val="both"/>
        <w:rPr>
          <w:rFonts w:ascii="微軟正黑體" w:eastAsia="微軟正黑體" w:hAnsi="微軟正黑體"/>
          <w:b/>
          <w:color w:val="0000FF"/>
          <w:sz w:val="28"/>
          <w:szCs w:val="28"/>
        </w:rPr>
      </w:pPr>
      <w:r w:rsidRPr="006C2C1B">
        <w:rPr>
          <w:rFonts w:ascii="微軟正黑體" w:eastAsia="微軟正黑體" w:hAnsi="微軟正黑體" w:hint="eastAsia"/>
          <w:b/>
          <w:color w:val="0000FF"/>
          <w:sz w:val="28"/>
          <w:szCs w:val="28"/>
        </w:rPr>
        <w:lastRenderedPageBreak/>
        <w:t>健保醫療資訊雲端查詢系統提供醫事人員透過多元管道查詢病人13項主題資訊，以減少重複用藥、重複檢查檢驗</w:t>
      </w:r>
    </w:p>
    <w:p w14:paraId="0FBA373E" w14:textId="77777777" w:rsidR="00DC108E" w:rsidRPr="006C2C1B" w:rsidRDefault="00DC108E" w:rsidP="00DC108E">
      <w:pPr>
        <w:pStyle w:val="a7"/>
        <w:numPr>
          <w:ilvl w:val="0"/>
          <w:numId w:val="11"/>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為提升民眾就醫與用藥安全與品質，避免重複醫療資源利用，本署於102年建置「健保醫療資訊雲端查詢系統」整合跨司署健康大數據，提供個人全方位的醫療資訊，包括中西醫用藥紀錄、檢查檢驗紀錄與結果(含醫療影像及報告)、過敏紀錄、出院病歷摘要等13項主題資訊，並可透過網頁、批次下載及主動提示API等多元管道查詢，協助醫事人員掌握病人病況，並避免重複處方，更可節省病人交通、拷貝影像光碟等花費的時間及費用。透過健保雲端系統創造健康大數據資訊共享，讓健保資源能更加有效運用，協同醫療團隊推動全人全程健康照護，加速智慧醫療應用，以落實健康台灣願景。</w:t>
      </w:r>
    </w:p>
    <w:p w14:paraId="1C60DD35" w14:textId="65693244" w:rsidR="00DC108E" w:rsidRPr="006C2C1B" w:rsidRDefault="00DC108E" w:rsidP="00DC108E">
      <w:pPr>
        <w:pStyle w:val="a7"/>
        <w:numPr>
          <w:ilvl w:val="0"/>
          <w:numId w:val="11"/>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114年院所查詢使用率98%，每月平均3.7千萬人次查詢，推估103至113年共減少約158.4億元重複藥費、107年至113年減少重複檢查檢驗費用約41.8億點支出，健保醫療資訊雲端查詢系統深度融入第一線醫療流程，為醫療服務不可或缺的必要工具。</w:t>
      </w:r>
    </w:p>
    <w:p w14:paraId="0E995573" w14:textId="33FDFD27" w:rsidR="00411026" w:rsidRPr="006C2C1B" w:rsidRDefault="00411026" w:rsidP="005C5177">
      <w:pPr>
        <w:pStyle w:val="a7"/>
        <w:numPr>
          <w:ilvl w:val="0"/>
          <w:numId w:val="7"/>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審查</w:t>
      </w:r>
      <w:r w:rsidR="00DC108E" w:rsidRPr="006C2C1B">
        <w:rPr>
          <w:rFonts w:ascii="微軟正黑體" w:eastAsia="微軟正黑體" w:hAnsi="微軟正黑體" w:hint="eastAsia"/>
          <w:color w:val="0000FF"/>
          <w:sz w:val="28"/>
        </w:rPr>
        <w:t>部分</w:t>
      </w:r>
    </w:p>
    <w:p w14:paraId="7B53C699" w14:textId="0744B46F" w:rsidR="00411026" w:rsidRPr="006C2C1B" w:rsidRDefault="00411026" w:rsidP="005C5177">
      <w:pPr>
        <w:pStyle w:val="a7"/>
        <w:numPr>
          <w:ilvl w:val="0"/>
          <w:numId w:val="9"/>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為抑制資源不當耗用，針對「重複用藥、重複檢驗檢查、西醫門診復健高診次案件」，建立監測指標，加強院所管理。</w:t>
      </w:r>
    </w:p>
    <w:p w14:paraId="57F6CCDF" w14:textId="77777777" w:rsidR="00411026" w:rsidRPr="006C2C1B" w:rsidRDefault="00411026" w:rsidP="005C5177">
      <w:pPr>
        <w:pStyle w:val="a7"/>
        <w:spacing w:line="520" w:lineRule="exact"/>
        <w:ind w:leftChars="400" w:left="96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依全民健康保險法第72條規定，為減少無效醫療等不當耗用保險醫療資源之情形，健保署每年度應擬訂抑制資源不當耗用之改善方案，提全民健康保險會討論。經分析可能造成醫療浪費之成因，保險對象就醫資訊傳遞未暢通，易造成就醫後重複用藥、檢驗檢查與處置的問題，爰設置相關管理指標，推動醫事服務機構善加運用健保署雲端資料庫，避免重複檢驗(查)、用藥及治療，以加強疾病管理及強化院所間之合作機制。</w:t>
      </w:r>
    </w:p>
    <w:p w14:paraId="321E796E" w14:textId="359152B9" w:rsidR="00411026" w:rsidRPr="006C2C1B" w:rsidRDefault="00411026" w:rsidP="005C5177">
      <w:pPr>
        <w:pStyle w:val="a7"/>
        <w:numPr>
          <w:ilvl w:val="0"/>
          <w:numId w:val="9"/>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抑制資源不當耗用管理指標說明與114年成果如下:</w:t>
      </w:r>
    </w:p>
    <w:p w14:paraId="56253272" w14:textId="68545337" w:rsidR="00411026" w:rsidRPr="006C2C1B" w:rsidRDefault="00411026" w:rsidP="005C5177">
      <w:pPr>
        <w:pStyle w:val="a7"/>
        <w:numPr>
          <w:ilvl w:val="0"/>
          <w:numId w:val="10"/>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全藥類藥品重複用藥日數下降率(指標10)</w:t>
      </w:r>
    </w:p>
    <w:p w14:paraId="6C0D362C" w14:textId="77777777" w:rsidR="00411026" w:rsidRPr="006C2C1B" w:rsidRDefault="00411026" w:rsidP="005C5177">
      <w:pPr>
        <w:pStyle w:val="a7"/>
        <w:spacing w:line="520" w:lineRule="exact"/>
        <w:ind w:leftChars="400" w:left="96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自104年7月起實施，針對就醫時「病人持有10日以上餘藥，且醫</w:t>
      </w:r>
      <w:r w:rsidRPr="006C2C1B">
        <w:rPr>
          <w:rFonts w:ascii="微軟正黑體" w:eastAsia="微軟正黑體" w:hAnsi="微軟正黑體" w:hint="eastAsia"/>
          <w:color w:val="0000FF"/>
          <w:sz w:val="28"/>
          <w:szCs w:val="28"/>
        </w:rPr>
        <w:lastRenderedPageBreak/>
        <w:t>師無合理理由仍處方相同藥品」加強管理，至108年10月擴增為全藥類藥品管理。全藥類藥品重複用藥日數占率，114年為0.21%，相較113年下降2.27%。</w:t>
      </w:r>
    </w:p>
    <w:p w14:paraId="51E4325D" w14:textId="16207B2C" w:rsidR="00411026" w:rsidRPr="006C2C1B" w:rsidRDefault="00411026" w:rsidP="005C5177">
      <w:pPr>
        <w:pStyle w:val="a7"/>
        <w:numPr>
          <w:ilvl w:val="0"/>
          <w:numId w:val="10"/>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門診10項重點檢查(驗)非合理區間內再次執行下降率(指標11)</w:t>
      </w:r>
    </w:p>
    <w:p w14:paraId="3A6D07B5" w14:textId="77777777" w:rsidR="00411026" w:rsidRPr="006C2C1B" w:rsidRDefault="00411026" w:rsidP="005C5177">
      <w:pPr>
        <w:pStyle w:val="a7"/>
        <w:spacing w:line="520" w:lineRule="exact"/>
        <w:ind w:leftChars="400" w:left="96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自106年下半年起實施，針對「短期再次執行相同檢查(驗)、及未調閱病人前次檢查結果再次執行者」加強管理。112年起擴大管理檢查(驗)醫令範圍，由原44大類擴增至45大類，推估107-114年可減少重複檢查(驗)費用約52.93億點，其中114年減少重複費用約11.14億元支出。另門診10項重點檢查(驗)非合理區間內再次執行率，114年為16.3%，相較113年下降0%。</w:t>
      </w:r>
    </w:p>
    <w:p w14:paraId="03CD7024" w14:textId="1B1980C9" w:rsidR="00411026" w:rsidRPr="006C2C1B" w:rsidRDefault="00411026" w:rsidP="005C5177">
      <w:pPr>
        <w:pStyle w:val="a7"/>
        <w:numPr>
          <w:ilvl w:val="0"/>
          <w:numId w:val="10"/>
        </w:numPr>
        <w:spacing w:line="520" w:lineRule="exact"/>
        <w:ind w:leftChars="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西醫門診年復健次數&gt;180次異常件數成長率零成長(指標12)</w:t>
      </w:r>
    </w:p>
    <w:p w14:paraId="3ED63E29" w14:textId="276753A9" w:rsidR="00D90C23" w:rsidRPr="006C2C1B" w:rsidRDefault="00411026" w:rsidP="005C5177">
      <w:pPr>
        <w:pStyle w:val="a7"/>
        <w:spacing w:line="520" w:lineRule="exact"/>
        <w:ind w:leftChars="400" w:left="960"/>
        <w:jc w:val="both"/>
        <w:rPr>
          <w:rFonts w:ascii="微軟正黑體" w:eastAsia="微軟正黑體" w:hAnsi="微軟正黑體"/>
          <w:color w:val="0000FF"/>
          <w:sz w:val="28"/>
          <w:szCs w:val="28"/>
        </w:rPr>
      </w:pPr>
      <w:r w:rsidRPr="006C2C1B">
        <w:rPr>
          <w:rFonts w:ascii="微軟正黑體" w:eastAsia="微軟正黑體" w:hAnsi="微軟正黑體" w:hint="eastAsia"/>
          <w:color w:val="0000FF"/>
          <w:sz w:val="28"/>
          <w:szCs w:val="28"/>
        </w:rPr>
        <w:t>自107年起實施，針對西醫門診年復健次數&gt;180次之異常個案及申報院所加強管理，以避免執行過度之復健治療。年復健次數&gt;180次異常件數，114年相較113年下降3%。</w:t>
      </w:r>
    </w:p>
    <w:p w14:paraId="42014F5D" w14:textId="77777777" w:rsidR="00D90C23" w:rsidRPr="006C2C1B" w:rsidRDefault="00D90C23" w:rsidP="005C5177">
      <w:pPr>
        <w:widowControl/>
        <w:jc w:val="both"/>
        <w:rPr>
          <w:rFonts w:ascii="微軟正黑體" w:eastAsia="微軟正黑體" w:hAnsi="微軟正黑體"/>
          <w:color w:val="0000FF"/>
          <w:sz w:val="28"/>
          <w:szCs w:val="28"/>
        </w:rPr>
      </w:pPr>
      <w:r w:rsidRPr="006C2C1B">
        <w:rPr>
          <w:rFonts w:ascii="微軟正黑體" w:eastAsia="微軟正黑體" w:hAnsi="微軟正黑體"/>
          <w:color w:val="0000FF"/>
          <w:sz w:val="28"/>
          <w:szCs w:val="28"/>
        </w:rPr>
        <w:br w:type="page"/>
      </w:r>
    </w:p>
    <w:tbl>
      <w:tblPr>
        <w:tblStyle w:val="a8"/>
        <w:tblW w:w="0" w:type="auto"/>
        <w:tblLook w:val="04A0" w:firstRow="1" w:lastRow="0" w:firstColumn="1" w:lastColumn="0" w:noHBand="0" w:noVBand="1"/>
      </w:tblPr>
      <w:tblGrid>
        <w:gridCol w:w="652"/>
        <w:gridCol w:w="1266"/>
        <w:gridCol w:w="2574"/>
        <w:gridCol w:w="1891"/>
        <w:gridCol w:w="1782"/>
        <w:gridCol w:w="590"/>
        <w:gridCol w:w="590"/>
      </w:tblGrid>
      <w:tr w:rsidR="006C2C1B" w:rsidRPr="006C2C1B" w14:paraId="25325533" w14:textId="77777777" w:rsidTr="005C5177">
        <w:trPr>
          <w:trHeight w:val="390"/>
        </w:trPr>
        <w:tc>
          <w:tcPr>
            <w:tcW w:w="705" w:type="dxa"/>
            <w:vMerge w:val="restart"/>
            <w:hideMark/>
          </w:tcPr>
          <w:p w14:paraId="5E4E255C"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lastRenderedPageBreak/>
              <w:t>指標</w:t>
            </w:r>
            <w:r w:rsidRPr="006C2C1B">
              <w:rPr>
                <w:rFonts w:ascii="Times New Roman" w:eastAsia="微軟正黑體" w:hAnsi="Times New Roman" w:cs="Times New Roman"/>
                <w:color w:val="0000FF"/>
              </w:rPr>
              <w:br/>
            </w:r>
            <w:r w:rsidRPr="006C2C1B">
              <w:rPr>
                <w:rFonts w:ascii="Times New Roman" w:eastAsia="微軟正黑體" w:hAnsi="Times New Roman" w:cs="Times New Roman"/>
                <w:color w:val="0000FF"/>
              </w:rPr>
              <w:t>代號</w:t>
            </w:r>
          </w:p>
        </w:tc>
        <w:tc>
          <w:tcPr>
            <w:tcW w:w="1417" w:type="dxa"/>
            <w:vMerge w:val="restart"/>
            <w:hideMark/>
          </w:tcPr>
          <w:p w14:paraId="76FC1D2D" w14:textId="0E7C2CAD"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管控項目</w:t>
            </w:r>
            <w:r w:rsidRPr="006C2C1B">
              <w:rPr>
                <w:rFonts w:ascii="Times New Roman" w:eastAsia="微軟正黑體" w:hAnsi="Times New Roman" w:cs="Times New Roman"/>
                <w:color w:val="0000FF"/>
              </w:rPr>
              <w:br/>
            </w:r>
            <w:r w:rsidRPr="006C2C1B">
              <w:rPr>
                <w:rFonts w:ascii="Times New Roman" w:eastAsia="微軟正黑體" w:hAnsi="Times New Roman" w:cs="Times New Roman"/>
                <w:color w:val="0000FF"/>
              </w:rPr>
              <w:t>名稱</w:t>
            </w:r>
          </w:p>
        </w:tc>
        <w:tc>
          <w:tcPr>
            <w:tcW w:w="3052" w:type="dxa"/>
            <w:vMerge w:val="restart"/>
            <w:hideMark/>
          </w:tcPr>
          <w:p w14:paraId="40F8309F"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指標意涵</w:t>
            </w:r>
          </w:p>
        </w:tc>
        <w:tc>
          <w:tcPr>
            <w:tcW w:w="4267" w:type="dxa"/>
            <w:gridSpan w:val="2"/>
            <w:hideMark/>
          </w:tcPr>
          <w:p w14:paraId="0C6E258C"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計算方式說明</w:t>
            </w:r>
          </w:p>
        </w:tc>
        <w:tc>
          <w:tcPr>
            <w:tcW w:w="1180" w:type="dxa"/>
            <w:gridSpan w:val="2"/>
            <w:hideMark/>
          </w:tcPr>
          <w:p w14:paraId="78A320E8"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114</w:t>
            </w:r>
            <w:r w:rsidRPr="006C2C1B">
              <w:rPr>
                <w:rFonts w:ascii="Times New Roman" w:eastAsia="微軟正黑體" w:hAnsi="Times New Roman" w:cs="Times New Roman"/>
                <w:color w:val="0000FF"/>
              </w:rPr>
              <w:t>年</w:t>
            </w:r>
          </w:p>
        </w:tc>
      </w:tr>
      <w:tr w:rsidR="006C2C1B" w:rsidRPr="006C2C1B" w14:paraId="19F26E6A" w14:textId="77777777" w:rsidTr="005C5177">
        <w:trPr>
          <w:trHeight w:val="1035"/>
        </w:trPr>
        <w:tc>
          <w:tcPr>
            <w:tcW w:w="705" w:type="dxa"/>
            <w:vMerge/>
            <w:hideMark/>
          </w:tcPr>
          <w:p w14:paraId="16FB552E"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p>
        </w:tc>
        <w:tc>
          <w:tcPr>
            <w:tcW w:w="1417" w:type="dxa"/>
            <w:vMerge/>
            <w:hideMark/>
          </w:tcPr>
          <w:p w14:paraId="42FF7C69"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p>
        </w:tc>
        <w:tc>
          <w:tcPr>
            <w:tcW w:w="3052" w:type="dxa"/>
            <w:vMerge/>
            <w:hideMark/>
          </w:tcPr>
          <w:p w14:paraId="5E54928C"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p>
        </w:tc>
        <w:tc>
          <w:tcPr>
            <w:tcW w:w="2194" w:type="dxa"/>
            <w:hideMark/>
          </w:tcPr>
          <w:p w14:paraId="6D86ECDB"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分母</w:t>
            </w:r>
          </w:p>
        </w:tc>
        <w:tc>
          <w:tcPr>
            <w:tcW w:w="2073" w:type="dxa"/>
            <w:hideMark/>
          </w:tcPr>
          <w:p w14:paraId="6C399241"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分子</w:t>
            </w:r>
          </w:p>
        </w:tc>
        <w:tc>
          <w:tcPr>
            <w:tcW w:w="590" w:type="dxa"/>
            <w:hideMark/>
          </w:tcPr>
          <w:p w14:paraId="77ACBBD3"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目標值</w:t>
            </w:r>
          </w:p>
        </w:tc>
        <w:tc>
          <w:tcPr>
            <w:tcW w:w="590" w:type="dxa"/>
            <w:hideMark/>
          </w:tcPr>
          <w:p w14:paraId="38AE835E"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執行值</w:t>
            </w:r>
          </w:p>
        </w:tc>
      </w:tr>
      <w:tr w:rsidR="006C2C1B" w:rsidRPr="006C2C1B" w14:paraId="17F287A2" w14:textId="77777777" w:rsidTr="005C5177">
        <w:trPr>
          <w:trHeight w:val="4535"/>
        </w:trPr>
        <w:tc>
          <w:tcPr>
            <w:tcW w:w="705" w:type="dxa"/>
            <w:hideMark/>
          </w:tcPr>
          <w:p w14:paraId="04829401"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10</w:t>
            </w:r>
          </w:p>
        </w:tc>
        <w:tc>
          <w:tcPr>
            <w:tcW w:w="1417" w:type="dxa"/>
            <w:hideMark/>
          </w:tcPr>
          <w:p w14:paraId="2074A662"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全藥類藥品重複用藥日數占率之下降率</w:t>
            </w:r>
          </w:p>
        </w:tc>
        <w:tc>
          <w:tcPr>
            <w:tcW w:w="3052" w:type="dxa"/>
            <w:hideMark/>
          </w:tcPr>
          <w:p w14:paraId="361FC409"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為嚴密守護民眾用藥安全，本署加強管理重複用藥，督促醫師在開立處方查詢「健保醫療資訊雲端查詢系統」，並檢視病人的過去病史及完整用藥資訊，做好專業把關，藉此有效避免民眾潛在服藥過量造成之副作用及過多剩藥丟棄之浪費問題。</w:t>
            </w:r>
          </w:p>
        </w:tc>
        <w:tc>
          <w:tcPr>
            <w:tcW w:w="2194" w:type="dxa"/>
            <w:hideMark/>
          </w:tcPr>
          <w:p w14:paraId="7BB05D37"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去年同期全藥類藥品每季重複用藥日數占率</w:t>
            </w:r>
            <w:r w:rsidRPr="006C2C1B">
              <w:rPr>
                <w:rFonts w:ascii="Times New Roman" w:eastAsia="微軟正黑體" w:hAnsi="Times New Roman" w:cs="Times New Roman"/>
                <w:color w:val="0000FF"/>
              </w:rPr>
              <w:br/>
              <w:t>(</w:t>
            </w:r>
            <w:r w:rsidRPr="006C2C1B">
              <w:rPr>
                <w:rFonts w:ascii="Times New Roman" w:eastAsia="微軟正黑體" w:hAnsi="Times New Roman" w:cs="Times New Roman"/>
                <w:color w:val="0000FF"/>
              </w:rPr>
              <w:t>註：重複用藥日數占率</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重複用藥日數</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總給藥日數</w:t>
            </w:r>
            <w:r w:rsidRPr="006C2C1B">
              <w:rPr>
                <w:rFonts w:ascii="Times New Roman" w:eastAsia="微軟正黑體" w:hAnsi="Times New Roman" w:cs="Times New Roman"/>
                <w:color w:val="0000FF"/>
              </w:rPr>
              <w:t>)</w:t>
            </w:r>
          </w:p>
        </w:tc>
        <w:tc>
          <w:tcPr>
            <w:tcW w:w="2073" w:type="dxa"/>
            <w:hideMark/>
          </w:tcPr>
          <w:p w14:paraId="37F4FFEA"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去年同期全藥類藥品每季重複用藥日數占率</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當期全藥類藥品每季重複用藥日數占率</w:t>
            </w:r>
          </w:p>
        </w:tc>
        <w:tc>
          <w:tcPr>
            <w:tcW w:w="590" w:type="dxa"/>
            <w:noWrap/>
            <w:hideMark/>
          </w:tcPr>
          <w:p w14:paraId="4D0A9471"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新細明體" w:eastAsia="新細明體" w:hAnsi="新細明體" w:cs="新細明體" w:hint="eastAsia"/>
                <w:color w:val="0000FF"/>
              </w:rPr>
              <w:t>≧</w:t>
            </w:r>
            <w:r w:rsidRPr="006C2C1B">
              <w:rPr>
                <w:rFonts w:ascii="Times New Roman" w:eastAsia="微軟正黑體" w:hAnsi="Times New Roman" w:cs="Times New Roman"/>
                <w:color w:val="0000FF"/>
              </w:rPr>
              <w:t>8%</w:t>
            </w:r>
          </w:p>
        </w:tc>
        <w:tc>
          <w:tcPr>
            <w:tcW w:w="590" w:type="dxa"/>
            <w:noWrap/>
            <w:hideMark/>
          </w:tcPr>
          <w:p w14:paraId="29ED8420"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2%</w:t>
            </w:r>
          </w:p>
        </w:tc>
      </w:tr>
      <w:tr w:rsidR="006C2C1B" w:rsidRPr="006C2C1B" w14:paraId="4C1B0C61" w14:textId="77777777" w:rsidTr="005C5177">
        <w:trPr>
          <w:trHeight w:val="3855"/>
        </w:trPr>
        <w:tc>
          <w:tcPr>
            <w:tcW w:w="705" w:type="dxa"/>
            <w:hideMark/>
          </w:tcPr>
          <w:p w14:paraId="4E4A1AAE"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11</w:t>
            </w:r>
          </w:p>
        </w:tc>
        <w:tc>
          <w:tcPr>
            <w:tcW w:w="1417" w:type="dxa"/>
            <w:hideMark/>
          </w:tcPr>
          <w:p w14:paraId="0BEE7455"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門診</w:t>
            </w:r>
            <w:r w:rsidRPr="006C2C1B">
              <w:rPr>
                <w:rFonts w:ascii="Times New Roman" w:eastAsia="微軟正黑體" w:hAnsi="Times New Roman" w:cs="Times New Roman"/>
                <w:color w:val="0000FF"/>
              </w:rPr>
              <w:t>10</w:t>
            </w:r>
            <w:r w:rsidRPr="006C2C1B">
              <w:rPr>
                <w:rFonts w:ascii="Times New Roman" w:eastAsia="微軟正黑體" w:hAnsi="Times New Roman" w:cs="Times New Roman"/>
                <w:color w:val="0000FF"/>
              </w:rPr>
              <w:t>項重點檢查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非合理區間內再次執行率之下降率</w:t>
            </w:r>
          </w:p>
        </w:tc>
        <w:tc>
          <w:tcPr>
            <w:tcW w:w="3052" w:type="dxa"/>
            <w:hideMark/>
          </w:tcPr>
          <w:p w14:paraId="55F1A2AA"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為推動醫療院所建立系統化管理檢查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機制，促請醫療院所及民眾珍惜醫療資源，本署自</w:t>
            </w:r>
            <w:r w:rsidRPr="006C2C1B">
              <w:rPr>
                <w:rFonts w:ascii="Times New Roman" w:eastAsia="微軟正黑體" w:hAnsi="Times New Roman" w:cs="Times New Roman"/>
                <w:color w:val="0000FF"/>
              </w:rPr>
              <w:t>106</w:t>
            </w:r>
            <w:r w:rsidRPr="006C2C1B">
              <w:rPr>
                <w:rFonts w:ascii="Times New Roman" w:eastAsia="微軟正黑體" w:hAnsi="Times New Roman" w:cs="Times New Roman"/>
                <w:color w:val="0000FF"/>
              </w:rPr>
              <w:t>年</w:t>
            </w:r>
            <w:r w:rsidRPr="006C2C1B">
              <w:rPr>
                <w:rFonts w:ascii="Times New Roman" w:eastAsia="微軟正黑體" w:hAnsi="Times New Roman" w:cs="Times New Roman"/>
                <w:color w:val="0000FF"/>
              </w:rPr>
              <w:t>6</w:t>
            </w:r>
            <w:r w:rsidRPr="006C2C1B">
              <w:rPr>
                <w:rFonts w:ascii="Times New Roman" w:eastAsia="微軟正黑體" w:hAnsi="Times New Roman" w:cs="Times New Roman"/>
                <w:color w:val="0000FF"/>
              </w:rPr>
              <w:t>月起推動重要檢查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管理措施，期望運用多元管理策略，協助院所審視再次檢查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之必要性。</w:t>
            </w:r>
          </w:p>
        </w:tc>
        <w:tc>
          <w:tcPr>
            <w:tcW w:w="2194" w:type="dxa"/>
            <w:hideMark/>
          </w:tcPr>
          <w:p w14:paraId="31FA4008"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去年同期門診</w:t>
            </w:r>
            <w:r w:rsidRPr="006C2C1B">
              <w:rPr>
                <w:rFonts w:ascii="Times New Roman" w:eastAsia="微軟正黑體" w:hAnsi="Times New Roman" w:cs="Times New Roman"/>
                <w:color w:val="0000FF"/>
              </w:rPr>
              <w:t>10</w:t>
            </w:r>
            <w:r w:rsidRPr="006C2C1B">
              <w:rPr>
                <w:rFonts w:ascii="Times New Roman" w:eastAsia="微軟正黑體" w:hAnsi="Times New Roman" w:cs="Times New Roman"/>
                <w:color w:val="0000FF"/>
              </w:rPr>
              <w:t>項檢查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非合理區間內每季再次執行率</w:t>
            </w:r>
            <w:r w:rsidRPr="006C2C1B">
              <w:rPr>
                <w:rFonts w:ascii="Times New Roman" w:eastAsia="微軟正黑體" w:hAnsi="Times New Roman" w:cs="Times New Roman"/>
                <w:color w:val="0000FF"/>
              </w:rPr>
              <w:br/>
              <w:t>(</w:t>
            </w:r>
            <w:r w:rsidRPr="006C2C1B">
              <w:rPr>
                <w:rFonts w:ascii="Times New Roman" w:eastAsia="微軟正黑體" w:hAnsi="Times New Roman" w:cs="Times New Roman"/>
                <w:color w:val="0000FF"/>
              </w:rPr>
              <w:t>註：再次執行率</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再次執行醫令數</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總申報醫令數</w:t>
            </w:r>
            <w:r w:rsidRPr="006C2C1B">
              <w:rPr>
                <w:rFonts w:ascii="Times New Roman" w:eastAsia="微軟正黑體" w:hAnsi="Times New Roman" w:cs="Times New Roman"/>
                <w:color w:val="0000FF"/>
              </w:rPr>
              <w:t>)</w:t>
            </w:r>
          </w:p>
        </w:tc>
        <w:tc>
          <w:tcPr>
            <w:tcW w:w="2073" w:type="dxa"/>
            <w:hideMark/>
          </w:tcPr>
          <w:p w14:paraId="68773870"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去年同期門診</w:t>
            </w:r>
            <w:r w:rsidRPr="006C2C1B">
              <w:rPr>
                <w:rFonts w:ascii="Times New Roman" w:eastAsia="微軟正黑體" w:hAnsi="Times New Roman" w:cs="Times New Roman"/>
                <w:color w:val="0000FF"/>
              </w:rPr>
              <w:t>10</w:t>
            </w:r>
            <w:r w:rsidRPr="006C2C1B">
              <w:rPr>
                <w:rFonts w:ascii="Times New Roman" w:eastAsia="微軟正黑體" w:hAnsi="Times New Roman" w:cs="Times New Roman"/>
                <w:color w:val="0000FF"/>
              </w:rPr>
              <w:t>項檢查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非合理區間內每季再次執行率</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當期門診</w:t>
            </w:r>
            <w:r w:rsidRPr="006C2C1B">
              <w:rPr>
                <w:rFonts w:ascii="Times New Roman" w:eastAsia="微軟正黑體" w:hAnsi="Times New Roman" w:cs="Times New Roman"/>
                <w:color w:val="0000FF"/>
              </w:rPr>
              <w:t>10</w:t>
            </w:r>
            <w:r w:rsidRPr="006C2C1B">
              <w:rPr>
                <w:rFonts w:ascii="Times New Roman" w:eastAsia="微軟正黑體" w:hAnsi="Times New Roman" w:cs="Times New Roman"/>
                <w:color w:val="0000FF"/>
              </w:rPr>
              <w:t>項檢查</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驗</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非合理區間內每季再次執行率</w:t>
            </w:r>
          </w:p>
        </w:tc>
        <w:tc>
          <w:tcPr>
            <w:tcW w:w="590" w:type="dxa"/>
            <w:noWrap/>
            <w:hideMark/>
          </w:tcPr>
          <w:p w14:paraId="40BD101B"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新細明體" w:eastAsia="新細明體" w:hAnsi="新細明體" w:cs="新細明體" w:hint="eastAsia"/>
                <w:color w:val="0000FF"/>
              </w:rPr>
              <w:t>≧</w:t>
            </w:r>
            <w:r w:rsidRPr="006C2C1B">
              <w:rPr>
                <w:rFonts w:ascii="Times New Roman" w:eastAsia="微軟正黑體" w:hAnsi="Times New Roman" w:cs="Times New Roman"/>
                <w:color w:val="0000FF"/>
              </w:rPr>
              <w:t>4%</w:t>
            </w:r>
          </w:p>
        </w:tc>
        <w:tc>
          <w:tcPr>
            <w:tcW w:w="590" w:type="dxa"/>
            <w:noWrap/>
            <w:hideMark/>
          </w:tcPr>
          <w:p w14:paraId="301FB978"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0%</w:t>
            </w:r>
          </w:p>
        </w:tc>
      </w:tr>
      <w:tr w:rsidR="006C2C1B" w:rsidRPr="006C2C1B" w14:paraId="26E05321" w14:textId="77777777" w:rsidTr="005C5177">
        <w:trPr>
          <w:trHeight w:val="2948"/>
        </w:trPr>
        <w:tc>
          <w:tcPr>
            <w:tcW w:w="705" w:type="dxa"/>
            <w:hideMark/>
          </w:tcPr>
          <w:p w14:paraId="44B6D2A2"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12</w:t>
            </w:r>
          </w:p>
        </w:tc>
        <w:tc>
          <w:tcPr>
            <w:tcW w:w="1417" w:type="dxa"/>
            <w:hideMark/>
          </w:tcPr>
          <w:p w14:paraId="34BB722F"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西醫門診年復健次數</w:t>
            </w:r>
            <w:r w:rsidRPr="006C2C1B">
              <w:rPr>
                <w:rFonts w:ascii="Times New Roman" w:eastAsia="微軟正黑體" w:hAnsi="Times New Roman" w:cs="Times New Roman"/>
                <w:color w:val="0000FF"/>
              </w:rPr>
              <w:t>&gt;180</w:t>
            </w:r>
            <w:r w:rsidRPr="006C2C1B">
              <w:rPr>
                <w:rFonts w:ascii="Times New Roman" w:eastAsia="微軟正黑體" w:hAnsi="Times New Roman" w:cs="Times New Roman"/>
                <w:color w:val="0000FF"/>
              </w:rPr>
              <w:t>次異常件數成長率零成長</w:t>
            </w:r>
          </w:p>
        </w:tc>
        <w:tc>
          <w:tcPr>
            <w:tcW w:w="3052" w:type="dxa"/>
            <w:hideMark/>
          </w:tcPr>
          <w:p w14:paraId="16184D0B"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為有效利用醫療資源，以減少不當之超高頻率復健資源耗用、降低不當之醫療處置型態，提升醫療品質，進行復健管理。</w:t>
            </w:r>
          </w:p>
        </w:tc>
        <w:tc>
          <w:tcPr>
            <w:tcW w:w="2194" w:type="dxa"/>
            <w:hideMark/>
          </w:tcPr>
          <w:p w14:paraId="3D505BEA"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去年同期西醫門診年復健次數</w:t>
            </w:r>
            <w:r w:rsidRPr="006C2C1B">
              <w:rPr>
                <w:rFonts w:ascii="Times New Roman" w:eastAsia="微軟正黑體" w:hAnsi="Times New Roman" w:cs="Times New Roman"/>
                <w:color w:val="0000FF"/>
              </w:rPr>
              <w:t>&gt;180</w:t>
            </w:r>
            <w:r w:rsidRPr="006C2C1B">
              <w:rPr>
                <w:rFonts w:ascii="Times New Roman" w:eastAsia="微軟正黑體" w:hAnsi="Times New Roman" w:cs="Times New Roman"/>
                <w:color w:val="0000FF"/>
              </w:rPr>
              <w:t>次之異常件數</w:t>
            </w:r>
          </w:p>
        </w:tc>
        <w:tc>
          <w:tcPr>
            <w:tcW w:w="2073" w:type="dxa"/>
            <w:hideMark/>
          </w:tcPr>
          <w:p w14:paraId="4EE2ED55"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當期西醫門診年復健次數</w:t>
            </w:r>
            <w:r w:rsidRPr="006C2C1B">
              <w:rPr>
                <w:rFonts w:ascii="Times New Roman" w:eastAsia="微軟正黑體" w:hAnsi="Times New Roman" w:cs="Times New Roman"/>
                <w:color w:val="0000FF"/>
              </w:rPr>
              <w:t>&gt;180</w:t>
            </w:r>
            <w:r w:rsidRPr="006C2C1B">
              <w:rPr>
                <w:rFonts w:ascii="Times New Roman" w:eastAsia="微軟正黑體" w:hAnsi="Times New Roman" w:cs="Times New Roman"/>
                <w:color w:val="0000FF"/>
              </w:rPr>
              <w:t>次之異常件數</w:t>
            </w:r>
            <w:r w:rsidRPr="006C2C1B">
              <w:rPr>
                <w:rFonts w:ascii="Times New Roman" w:eastAsia="微軟正黑體" w:hAnsi="Times New Roman" w:cs="Times New Roman"/>
                <w:color w:val="0000FF"/>
              </w:rPr>
              <w:t>-</w:t>
            </w:r>
            <w:r w:rsidRPr="006C2C1B">
              <w:rPr>
                <w:rFonts w:ascii="Times New Roman" w:eastAsia="微軟正黑體" w:hAnsi="Times New Roman" w:cs="Times New Roman"/>
                <w:color w:val="0000FF"/>
              </w:rPr>
              <w:t>去年同期西醫門診年復健次數</w:t>
            </w:r>
            <w:r w:rsidRPr="006C2C1B">
              <w:rPr>
                <w:rFonts w:ascii="Times New Roman" w:eastAsia="微軟正黑體" w:hAnsi="Times New Roman" w:cs="Times New Roman"/>
                <w:color w:val="0000FF"/>
              </w:rPr>
              <w:t>&gt;180</w:t>
            </w:r>
            <w:r w:rsidRPr="006C2C1B">
              <w:rPr>
                <w:rFonts w:ascii="Times New Roman" w:eastAsia="微軟正黑體" w:hAnsi="Times New Roman" w:cs="Times New Roman"/>
                <w:color w:val="0000FF"/>
              </w:rPr>
              <w:t>次之異常件數</w:t>
            </w:r>
          </w:p>
        </w:tc>
        <w:tc>
          <w:tcPr>
            <w:tcW w:w="590" w:type="dxa"/>
            <w:noWrap/>
            <w:hideMark/>
          </w:tcPr>
          <w:p w14:paraId="72B7C119"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新細明體" w:eastAsia="新細明體" w:hAnsi="新細明體" w:cs="新細明體" w:hint="eastAsia"/>
                <w:color w:val="0000FF"/>
              </w:rPr>
              <w:t>≦</w:t>
            </w:r>
            <w:r w:rsidRPr="006C2C1B">
              <w:rPr>
                <w:rFonts w:ascii="Times New Roman" w:eastAsia="微軟正黑體" w:hAnsi="Times New Roman" w:cs="Times New Roman"/>
                <w:color w:val="0000FF"/>
              </w:rPr>
              <w:t>0%</w:t>
            </w:r>
          </w:p>
        </w:tc>
        <w:tc>
          <w:tcPr>
            <w:tcW w:w="590" w:type="dxa"/>
            <w:noWrap/>
            <w:hideMark/>
          </w:tcPr>
          <w:p w14:paraId="0E77D984" w14:textId="77777777" w:rsidR="005C5177" w:rsidRPr="006C2C1B" w:rsidRDefault="005C5177" w:rsidP="005C5177">
            <w:pPr>
              <w:adjustRightInd w:val="0"/>
              <w:snapToGrid w:val="0"/>
              <w:spacing w:line="400" w:lineRule="exact"/>
              <w:jc w:val="both"/>
              <w:rPr>
                <w:rFonts w:ascii="Times New Roman" w:eastAsia="微軟正黑體" w:hAnsi="Times New Roman" w:cs="Times New Roman"/>
                <w:color w:val="0000FF"/>
              </w:rPr>
            </w:pPr>
            <w:r w:rsidRPr="006C2C1B">
              <w:rPr>
                <w:rFonts w:ascii="Times New Roman" w:eastAsia="微軟正黑體" w:hAnsi="Times New Roman" w:cs="Times New Roman"/>
                <w:color w:val="0000FF"/>
              </w:rPr>
              <w:t>-3%</w:t>
            </w:r>
          </w:p>
        </w:tc>
      </w:tr>
    </w:tbl>
    <w:p w14:paraId="2088490E" w14:textId="5E731603" w:rsidR="00411026" w:rsidRPr="00D90C23" w:rsidRDefault="00411026" w:rsidP="005C5177">
      <w:pPr>
        <w:pStyle w:val="a7"/>
        <w:spacing w:line="520" w:lineRule="exact"/>
        <w:ind w:leftChars="400" w:left="960"/>
        <w:jc w:val="both"/>
        <w:rPr>
          <w:rFonts w:ascii="微軟正黑體" w:eastAsia="微軟正黑體" w:hAnsi="微軟正黑體"/>
          <w:sz w:val="28"/>
          <w:szCs w:val="28"/>
        </w:rPr>
      </w:pPr>
    </w:p>
    <w:sectPr w:rsidR="00411026" w:rsidRPr="00D90C23" w:rsidSect="00011760">
      <w:footerReference w:type="default" r:id="rId8"/>
      <w:pgSz w:w="11906" w:h="16838"/>
      <w:pgMar w:top="1134" w:right="1133" w:bottom="993" w:left="1418" w:header="851" w:footer="46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42EDC9" w14:textId="77777777" w:rsidR="0067156F" w:rsidRDefault="0067156F" w:rsidP="00DC2848">
      <w:r>
        <w:separator/>
      </w:r>
    </w:p>
  </w:endnote>
  <w:endnote w:type="continuationSeparator" w:id="0">
    <w:p w14:paraId="18A58E10" w14:textId="77777777" w:rsidR="0067156F" w:rsidRDefault="0067156F" w:rsidP="00DC2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80286"/>
      <w:docPartObj>
        <w:docPartGallery w:val="Page Numbers (Bottom of Page)"/>
        <w:docPartUnique/>
      </w:docPartObj>
    </w:sdtPr>
    <w:sdtEndPr/>
    <w:sdtContent>
      <w:p w14:paraId="1F5EF3DA" w14:textId="4191A63D" w:rsidR="00A41142" w:rsidRDefault="00A41142">
        <w:pPr>
          <w:pStyle w:val="a5"/>
          <w:jc w:val="center"/>
        </w:pPr>
        <w:r>
          <w:fldChar w:fldCharType="begin"/>
        </w:r>
        <w:r>
          <w:instrText>PAGE   \* MERGEFORMAT</w:instrText>
        </w:r>
        <w:r>
          <w:fldChar w:fldCharType="separate"/>
        </w:r>
        <w:r>
          <w:rPr>
            <w:lang w:val="zh-TW"/>
          </w:rPr>
          <w:t>2</w:t>
        </w:r>
        <w:r>
          <w:fldChar w:fldCharType="end"/>
        </w:r>
      </w:p>
    </w:sdtContent>
  </w:sdt>
  <w:p w14:paraId="50D90506" w14:textId="77777777" w:rsidR="00A41142" w:rsidRDefault="00A4114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33A671" w14:textId="77777777" w:rsidR="0067156F" w:rsidRDefault="0067156F" w:rsidP="00DC2848">
      <w:r>
        <w:separator/>
      </w:r>
    </w:p>
  </w:footnote>
  <w:footnote w:type="continuationSeparator" w:id="0">
    <w:p w14:paraId="1E8EC3BE" w14:textId="77777777" w:rsidR="0067156F" w:rsidRDefault="0067156F" w:rsidP="00DC28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228A"/>
    <w:multiLevelType w:val="hybridMultilevel"/>
    <w:tmpl w:val="B2D89840"/>
    <w:lvl w:ilvl="0" w:tplc="9B86D9DE">
      <w:start w:val="1"/>
      <w:numFmt w:val="taiwaneseCountingThousand"/>
      <w:suff w:val="nothing"/>
      <w:lvlText w:val="%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3C38E7"/>
    <w:multiLevelType w:val="hybridMultilevel"/>
    <w:tmpl w:val="626C461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854103"/>
    <w:multiLevelType w:val="hybridMultilevel"/>
    <w:tmpl w:val="8ADEF35A"/>
    <w:lvl w:ilvl="0" w:tplc="B03C64E2">
      <w:start w:val="1"/>
      <w:numFmt w:val="taiwaneseCountingThousand"/>
      <w:suff w:val="nothing"/>
      <w:lvlText w:val="%1、"/>
      <w:lvlJc w:val="left"/>
      <w:pPr>
        <w:ind w:left="905"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C4A21A6"/>
    <w:multiLevelType w:val="hybridMultilevel"/>
    <w:tmpl w:val="4D4A7A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7203653"/>
    <w:multiLevelType w:val="hybridMultilevel"/>
    <w:tmpl w:val="CA9C7B00"/>
    <w:lvl w:ilvl="0" w:tplc="3A728032">
      <w:start w:val="1"/>
      <w:numFmt w:val="taiwaneseCountingThousand"/>
      <w:lvlText w:val="(%1)"/>
      <w:lvlJc w:val="left"/>
      <w:pPr>
        <w:ind w:left="1920" w:hanging="480"/>
      </w:pPr>
      <w:rPr>
        <w:rFonts w:ascii="Times New Roman" w:eastAsia="標楷體" w:hAnsi="Times New Roman" w:cs="Times New Roman"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889248F"/>
    <w:multiLevelType w:val="hybridMultilevel"/>
    <w:tmpl w:val="7E56111E"/>
    <w:lvl w:ilvl="0" w:tplc="3676DA86">
      <w:start w:val="1"/>
      <w:numFmt w:val="taiwaneseCountingThousand"/>
      <w:lvlText w:val="(%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6" w15:restartNumberingAfterBreak="0">
    <w:nsid w:val="47CF1547"/>
    <w:multiLevelType w:val="hybridMultilevel"/>
    <w:tmpl w:val="88C69C86"/>
    <w:lvl w:ilvl="0" w:tplc="3676DA86">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6D650BA7"/>
    <w:multiLevelType w:val="hybridMultilevel"/>
    <w:tmpl w:val="51F0CB06"/>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6E922F95"/>
    <w:multiLevelType w:val="hybridMultilevel"/>
    <w:tmpl w:val="3DA432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9463346"/>
    <w:multiLevelType w:val="hybridMultilevel"/>
    <w:tmpl w:val="E3920F90"/>
    <w:lvl w:ilvl="0" w:tplc="811A3CDA">
      <w:start w:val="1"/>
      <w:numFmt w:val="taiwaneseCountingThousand"/>
      <w:lvlText w:val="(%1)"/>
      <w:lvlJc w:val="left"/>
      <w:pPr>
        <w:ind w:left="905" w:hanging="480"/>
      </w:pPr>
      <w:rPr>
        <w:rFonts w:hint="default"/>
        <w:color w:val="auto"/>
      </w:rPr>
    </w:lvl>
    <w:lvl w:ilvl="1" w:tplc="5F14F33C">
      <w:start w:val="1"/>
      <w:numFmt w:val="taiwaneseCountingThousand"/>
      <w:lvlText w:val="%2、"/>
      <w:lvlJc w:val="left"/>
      <w:pPr>
        <w:ind w:left="1625" w:hanging="720"/>
      </w:pPr>
      <w:rPr>
        <w:rFonts w:hint="default"/>
      </w:r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0" w15:restartNumberingAfterBreak="0">
    <w:nsid w:val="79C42F90"/>
    <w:multiLevelType w:val="hybridMultilevel"/>
    <w:tmpl w:val="0DC0CB8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3"/>
  </w:num>
  <w:num w:numId="2">
    <w:abstractNumId w:val="8"/>
  </w:num>
  <w:num w:numId="3">
    <w:abstractNumId w:val="4"/>
  </w:num>
  <w:num w:numId="4">
    <w:abstractNumId w:val="9"/>
  </w:num>
  <w:num w:numId="5">
    <w:abstractNumId w:val="5"/>
  </w:num>
  <w:num w:numId="6">
    <w:abstractNumId w:val="1"/>
  </w:num>
  <w:num w:numId="7">
    <w:abstractNumId w:val="10"/>
  </w:num>
  <w:num w:numId="8">
    <w:abstractNumId w:val="7"/>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BE"/>
    <w:rsid w:val="00011760"/>
    <w:rsid w:val="00016470"/>
    <w:rsid w:val="00050C19"/>
    <w:rsid w:val="000570B5"/>
    <w:rsid w:val="0009599F"/>
    <w:rsid w:val="000A7ACC"/>
    <w:rsid w:val="000B1E7B"/>
    <w:rsid w:val="000B4531"/>
    <w:rsid w:val="000F19B3"/>
    <w:rsid w:val="0011281B"/>
    <w:rsid w:val="00122B1B"/>
    <w:rsid w:val="00135DA3"/>
    <w:rsid w:val="00151D3D"/>
    <w:rsid w:val="001623DF"/>
    <w:rsid w:val="00176831"/>
    <w:rsid w:val="001B4894"/>
    <w:rsid w:val="001D3ADC"/>
    <w:rsid w:val="001F62C2"/>
    <w:rsid w:val="001F6C67"/>
    <w:rsid w:val="002162BE"/>
    <w:rsid w:val="002250DC"/>
    <w:rsid w:val="00251BC1"/>
    <w:rsid w:val="00273F40"/>
    <w:rsid w:val="002744EE"/>
    <w:rsid w:val="002A5888"/>
    <w:rsid w:val="002A5DBF"/>
    <w:rsid w:val="002E2F89"/>
    <w:rsid w:val="00324770"/>
    <w:rsid w:val="00326E11"/>
    <w:rsid w:val="00327451"/>
    <w:rsid w:val="00350A77"/>
    <w:rsid w:val="00382A64"/>
    <w:rsid w:val="00395E99"/>
    <w:rsid w:val="003A2AEC"/>
    <w:rsid w:val="003F0610"/>
    <w:rsid w:val="00411026"/>
    <w:rsid w:val="00445082"/>
    <w:rsid w:val="004633E9"/>
    <w:rsid w:val="004F101F"/>
    <w:rsid w:val="005B4EC8"/>
    <w:rsid w:val="005C5177"/>
    <w:rsid w:val="005F2BB0"/>
    <w:rsid w:val="006622F5"/>
    <w:rsid w:val="0067156F"/>
    <w:rsid w:val="00672766"/>
    <w:rsid w:val="006C2C1B"/>
    <w:rsid w:val="006F4217"/>
    <w:rsid w:val="00724C91"/>
    <w:rsid w:val="00764F2A"/>
    <w:rsid w:val="00773BD4"/>
    <w:rsid w:val="007962BB"/>
    <w:rsid w:val="007B6946"/>
    <w:rsid w:val="007C5AC4"/>
    <w:rsid w:val="007D110F"/>
    <w:rsid w:val="007F003A"/>
    <w:rsid w:val="00811EF2"/>
    <w:rsid w:val="00817C29"/>
    <w:rsid w:val="00831D13"/>
    <w:rsid w:val="00892933"/>
    <w:rsid w:val="008E40A4"/>
    <w:rsid w:val="00900B44"/>
    <w:rsid w:val="00921A15"/>
    <w:rsid w:val="00955610"/>
    <w:rsid w:val="0097619F"/>
    <w:rsid w:val="00990FBD"/>
    <w:rsid w:val="009A4472"/>
    <w:rsid w:val="009A7BD7"/>
    <w:rsid w:val="009A7E05"/>
    <w:rsid w:val="009B6CE5"/>
    <w:rsid w:val="009C762C"/>
    <w:rsid w:val="00A0633D"/>
    <w:rsid w:val="00A41142"/>
    <w:rsid w:val="00A448C5"/>
    <w:rsid w:val="00A60701"/>
    <w:rsid w:val="00AA1304"/>
    <w:rsid w:val="00AA130A"/>
    <w:rsid w:val="00AB0F90"/>
    <w:rsid w:val="00AC2191"/>
    <w:rsid w:val="00AC2D51"/>
    <w:rsid w:val="00AE4DAE"/>
    <w:rsid w:val="00B11247"/>
    <w:rsid w:val="00B1715B"/>
    <w:rsid w:val="00B301AD"/>
    <w:rsid w:val="00B36A3E"/>
    <w:rsid w:val="00B81A43"/>
    <w:rsid w:val="00B87A88"/>
    <w:rsid w:val="00B92E31"/>
    <w:rsid w:val="00BC1515"/>
    <w:rsid w:val="00BC2684"/>
    <w:rsid w:val="00BC2EC3"/>
    <w:rsid w:val="00C1756D"/>
    <w:rsid w:val="00C23D91"/>
    <w:rsid w:val="00C47786"/>
    <w:rsid w:val="00C51E57"/>
    <w:rsid w:val="00C94FEC"/>
    <w:rsid w:val="00CC01D9"/>
    <w:rsid w:val="00D32DDC"/>
    <w:rsid w:val="00D352BF"/>
    <w:rsid w:val="00D90C23"/>
    <w:rsid w:val="00DB590E"/>
    <w:rsid w:val="00DC108E"/>
    <w:rsid w:val="00DC2848"/>
    <w:rsid w:val="00DD7569"/>
    <w:rsid w:val="00E0523B"/>
    <w:rsid w:val="00E20911"/>
    <w:rsid w:val="00E54232"/>
    <w:rsid w:val="00EA12C6"/>
    <w:rsid w:val="00F52C1E"/>
    <w:rsid w:val="00F6532E"/>
    <w:rsid w:val="00FE55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A18C8"/>
  <w15:chartTrackingRefBased/>
  <w15:docId w15:val="{68E85307-D8DB-4FA1-85E6-76407641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2848"/>
    <w:pPr>
      <w:tabs>
        <w:tab w:val="center" w:pos="4153"/>
        <w:tab w:val="right" w:pos="8306"/>
      </w:tabs>
      <w:snapToGrid w:val="0"/>
    </w:pPr>
    <w:rPr>
      <w:sz w:val="20"/>
      <w:szCs w:val="20"/>
    </w:rPr>
  </w:style>
  <w:style w:type="character" w:customStyle="1" w:styleId="a4">
    <w:name w:val="頁首 字元"/>
    <w:basedOn w:val="a0"/>
    <w:link w:val="a3"/>
    <w:uiPriority w:val="99"/>
    <w:rsid w:val="00DC2848"/>
    <w:rPr>
      <w:sz w:val="20"/>
      <w:szCs w:val="20"/>
    </w:rPr>
  </w:style>
  <w:style w:type="paragraph" w:styleId="a5">
    <w:name w:val="footer"/>
    <w:basedOn w:val="a"/>
    <w:link w:val="a6"/>
    <w:uiPriority w:val="99"/>
    <w:unhideWhenUsed/>
    <w:rsid w:val="00DC2848"/>
    <w:pPr>
      <w:tabs>
        <w:tab w:val="center" w:pos="4153"/>
        <w:tab w:val="right" w:pos="8306"/>
      </w:tabs>
      <w:snapToGrid w:val="0"/>
    </w:pPr>
    <w:rPr>
      <w:sz w:val="20"/>
      <w:szCs w:val="20"/>
    </w:rPr>
  </w:style>
  <w:style w:type="character" w:customStyle="1" w:styleId="a6">
    <w:name w:val="頁尾 字元"/>
    <w:basedOn w:val="a0"/>
    <w:link w:val="a5"/>
    <w:uiPriority w:val="99"/>
    <w:rsid w:val="00DC2848"/>
    <w:rPr>
      <w:sz w:val="20"/>
      <w:szCs w:val="20"/>
    </w:rPr>
  </w:style>
  <w:style w:type="paragraph" w:styleId="a7">
    <w:name w:val="List Paragraph"/>
    <w:basedOn w:val="a"/>
    <w:qFormat/>
    <w:rsid w:val="00DC2848"/>
    <w:pPr>
      <w:ind w:leftChars="200" w:left="480"/>
    </w:pPr>
  </w:style>
  <w:style w:type="table" w:styleId="a8">
    <w:name w:val="Table Grid"/>
    <w:basedOn w:val="a1"/>
    <w:uiPriority w:val="39"/>
    <w:rsid w:val="00724C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E0523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E0523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198069">
      <w:bodyDiv w:val="1"/>
      <w:marLeft w:val="0"/>
      <w:marRight w:val="0"/>
      <w:marTop w:val="0"/>
      <w:marBottom w:val="0"/>
      <w:divBdr>
        <w:top w:val="none" w:sz="0" w:space="0" w:color="auto"/>
        <w:left w:val="none" w:sz="0" w:space="0" w:color="auto"/>
        <w:bottom w:val="none" w:sz="0" w:space="0" w:color="auto"/>
        <w:right w:val="none" w:sz="0" w:space="0" w:color="auto"/>
      </w:divBdr>
    </w:div>
    <w:div w:id="205483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38C1D-DC7F-4BEC-B9A4-5AC05F9D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劉嘉欣</dc:creator>
  <cp:keywords/>
  <dc:description/>
  <cp:lastModifiedBy>陳宛均</cp:lastModifiedBy>
  <cp:revision>8</cp:revision>
  <cp:lastPrinted>2026-06-09T01:51:00Z</cp:lastPrinted>
  <dcterms:created xsi:type="dcterms:W3CDTF">2026-06-10T08:33:00Z</dcterms:created>
  <dcterms:modified xsi:type="dcterms:W3CDTF">2026-06-15T02:33:00Z</dcterms:modified>
</cp:coreProperties>
</file>