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703E2" w14:textId="40DC4061" w:rsidR="006B69C0" w:rsidRDefault="006B69C0" w:rsidP="00513209">
      <w:pPr>
        <w:spacing w:line="44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2026健保政策學院專題研討會(</w:t>
      </w:r>
      <w:r>
        <w:rPr>
          <w:rFonts w:ascii="細明體" w:eastAsia="細明體" w:hAnsi="細明體" w:hint="eastAsia"/>
          <w:b/>
          <w:bCs/>
          <w:sz w:val="32"/>
          <w:szCs w:val="32"/>
        </w:rPr>
        <w:t>Ⅱ</w:t>
      </w:r>
      <w:r>
        <w:rPr>
          <w:rFonts w:ascii="標楷體" w:eastAsia="標楷體" w:hAnsi="標楷體" w:hint="eastAsia"/>
          <w:b/>
          <w:bCs/>
          <w:sz w:val="32"/>
          <w:szCs w:val="32"/>
        </w:rPr>
        <w:t>)-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備參資料</w:t>
      </w:r>
      <w:proofErr w:type="gramEnd"/>
    </w:p>
    <w:p w14:paraId="5AD92E16" w14:textId="19911085" w:rsidR="00B43CB4" w:rsidRPr="00AF52DF" w:rsidRDefault="006B69C0" w:rsidP="00513209">
      <w:pPr>
        <w:spacing w:line="440" w:lineRule="exact"/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AF52DF">
        <w:rPr>
          <w:rFonts w:ascii="標楷體" w:eastAsia="標楷體" w:hAnsi="標楷體" w:hint="eastAsia"/>
          <w:b/>
          <w:bCs/>
          <w:sz w:val="28"/>
          <w:szCs w:val="28"/>
        </w:rPr>
        <w:t>從政策善意到制度治理:台灣MEA如何回到價值導向給付與加速新藥可近性的初衷</w:t>
      </w:r>
    </w:p>
    <w:p w14:paraId="1E0729EF" w14:textId="254369FD" w:rsidR="003D4EC9" w:rsidRPr="0071678F" w:rsidRDefault="003D4EC9" w:rsidP="00513209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71678F">
        <w:rPr>
          <w:rFonts w:ascii="標楷體" w:eastAsia="標楷體" w:hAnsi="標楷體" w:hint="eastAsia"/>
          <w:sz w:val="28"/>
          <w:szCs w:val="28"/>
        </w:rPr>
        <w:t>主辦單位：台灣醫藥品法規學會</w:t>
      </w:r>
      <w:proofErr w:type="spellStart"/>
      <w:r w:rsidRPr="0071678F">
        <w:rPr>
          <w:rFonts w:ascii="標楷體" w:eastAsia="標楷體" w:hAnsi="標楷體" w:hint="eastAsia"/>
          <w:sz w:val="28"/>
          <w:szCs w:val="28"/>
        </w:rPr>
        <w:t>TsRAP</w:t>
      </w:r>
      <w:proofErr w:type="spellEnd"/>
    </w:p>
    <w:p w14:paraId="13E0760A" w14:textId="6D2DD73D" w:rsidR="003D4EC9" w:rsidRPr="0071678F" w:rsidRDefault="003D4EC9" w:rsidP="00513209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71678F">
        <w:rPr>
          <w:rFonts w:ascii="標楷體" w:eastAsia="標楷體" w:hAnsi="標楷體" w:hint="eastAsia"/>
          <w:sz w:val="28"/>
          <w:szCs w:val="28"/>
        </w:rPr>
        <w:t>會議時間：</w:t>
      </w:r>
      <w:r w:rsidRPr="0071678F">
        <w:rPr>
          <w:rFonts w:ascii="標楷體" w:eastAsia="標楷體" w:hAnsi="標楷體"/>
          <w:sz w:val="28"/>
          <w:szCs w:val="28"/>
        </w:rPr>
        <w:t>11</w:t>
      </w:r>
      <w:r w:rsidRPr="0071678F">
        <w:rPr>
          <w:rFonts w:ascii="標楷體" w:eastAsia="標楷體" w:hAnsi="標楷體" w:hint="eastAsia"/>
          <w:sz w:val="28"/>
          <w:szCs w:val="28"/>
        </w:rPr>
        <w:t>5年8月7日</w:t>
      </w:r>
      <w:r w:rsidRPr="0071678F">
        <w:rPr>
          <w:rFonts w:ascii="標楷體" w:eastAsia="標楷體" w:hAnsi="標楷體"/>
          <w:sz w:val="28"/>
          <w:szCs w:val="28"/>
        </w:rPr>
        <w:t>(</w:t>
      </w:r>
      <w:r w:rsidRPr="0071678F">
        <w:rPr>
          <w:rFonts w:ascii="標楷體" w:eastAsia="標楷體" w:hAnsi="標楷體" w:hint="eastAsia"/>
          <w:sz w:val="28"/>
          <w:szCs w:val="28"/>
        </w:rPr>
        <w:t>五</w:t>
      </w:r>
      <w:r w:rsidRPr="0071678F">
        <w:rPr>
          <w:rFonts w:ascii="標楷體" w:eastAsia="標楷體" w:hAnsi="標楷體"/>
          <w:sz w:val="28"/>
          <w:szCs w:val="28"/>
        </w:rPr>
        <w:t>) 1</w:t>
      </w:r>
      <w:r w:rsidRPr="0071678F">
        <w:rPr>
          <w:rFonts w:ascii="標楷體" w:eastAsia="標楷體" w:hAnsi="標楷體" w:hint="eastAsia"/>
          <w:sz w:val="28"/>
          <w:szCs w:val="28"/>
        </w:rPr>
        <w:t>4</w:t>
      </w:r>
      <w:r w:rsidRPr="0071678F">
        <w:rPr>
          <w:rFonts w:ascii="標楷體" w:eastAsia="標楷體" w:hAnsi="標楷體"/>
          <w:sz w:val="28"/>
          <w:szCs w:val="28"/>
        </w:rPr>
        <w:t>:00~1</w:t>
      </w:r>
      <w:r w:rsidRPr="0071678F">
        <w:rPr>
          <w:rFonts w:ascii="標楷體" w:eastAsia="標楷體" w:hAnsi="標楷體" w:hint="eastAsia"/>
          <w:sz w:val="28"/>
          <w:szCs w:val="28"/>
        </w:rPr>
        <w:t>7</w:t>
      </w:r>
      <w:r w:rsidRPr="0071678F">
        <w:rPr>
          <w:rFonts w:ascii="標楷體" w:eastAsia="標楷體" w:hAnsi="標楷體"/>
          <w:sz w:val="28"/>
          <w:szCs w:val="28"/>
        </w:rPr>
        <w:t>:</w:t>
      </w:r>
      <w:r w:rsidRPr="0071678F">
        <w:rPr>
          <w:rFonts w:ascii="標楷體" w:eastAsia="標楷體" w:hAnsi="標楷體" w:hint="eastAsia"/>
          <w:sz w:val="28"/>
          <w:szCs w:val="28"/>
        </w:rPr>
        <w:t>0</w:t>
      </w:r>
      <w:r w:rsidRPr="0071678F">
        <w:rPr>
          <w:rFonts w:ascii="標楷體" w:eastAsia="標楷體" w:hAnsi="標楷體"/>
          <w:sz w:val="28"/>
          <w:szCs w:val="28"/>
        </w:rPr>
        <w:t>0</w:t>
      </w:r>
    </w:p>
    <w:p w14:paraId="251D2AA9" w14:textId="45568E67" w:rsidR="003D4EC9" w:rsidRPr="0071678F" w:rsidRDefault="003D4EC9" w:rsidP="00513209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71678F">
        <w:rPr>
          <w:rFonts w:ascii="標楷體" w:eastAsia="標楷體" w:hAnsi="標楷體" w:hint="eastAsia"/>
          <w:sz w:val="28"/>
          <w:szCs w:val="28"/>
        </w:rPr>
        <w:t>會議地點：臺灣大學藥學專業學院101室</w:t>
      </w:r>
      <w:r w:rsidRPr="0071678F">
        <w:rPr>
          <w:rFonts w:ascii="標楷體" w:eastAsia="標楷體" w:hAnsi="標楷體"/>
          <w:sz w:val="28"/>
          <w:szCs w:val="28"/>
        </w:rPr>
        <w:t>(</w:t>
      </w:r>
      <w:r w:rsidRPr="0071678F">
        <w:rPr>
          <w:rFonts w:ascii="標楷體" w:eastAsia="標楷體" w:hAnsi="標楷體" w:hint="eastAsia"/>
          <w:sz w:val="28"/>
          <w:szCs w:val="28"/>
        </w:rPr>
        <w:t>台北市中正區林森南路33號</w:t>
      </w:r>
      <w:r w:rsidRPr="0071678F">
        <w:rPr>
          <w:rFonts w:ascii="標楷體" w:eastAsia="標楷體" w:hAnsi="標楷體"/>
          <w:sz w:val="28"/>
          <w:szCs w:val="28"/>
        </w:rPr>
        <w:t>)</w:t>
      </w:r>
    </w:p>
    <w:p w14:paraId="6AFA64BE" w14:textId="5FD5163A" w:rsidR="003D4EC9" w:rsidRPr="0071678F" w:rsidRDefault="003D4EC9" w:rsidP="00513209">
      <w:pPr>
        <w:spacing w:line="440" w:lineRule="exact"/>
        <w:rPr>
          <w:rFonts w:ascii="標楷體" w:eastAsia="標楷體" w:hAnsi="標楷體"/>
          <w:sz w:val="28"/>
          <w:szCs w:val="28"/>
        </w:rPr>
      </w:pPr>
      <w:proofErr w:type="gramStart"/>
      <w:r w:rsidRPr="0071678F">
        <w:rPr>
          <w:rFonts w:ascii="標楷體" w:eastAsia="標楷體" w:hAnsi="標楷體" w:hint="eastAsia"/>
          <w:sz w:val="28"/>
          <w:szCs w:val="28"/>
        </w:rPr>
        <w:t>本署參與</w:t>
      </w:r>
      <w:proofErr w:type="gramEnd"/>
      <w:r w:rsidRPr="0071678F">
        <w:rPr>
          <w:rFonts w:ascii="標楷體" w:eastAsia="標楷體" w:hAnsi="標楷體" w:hint="eastAsia"/>
          <w:sz w:val="28"/>
          <w:szCs w:val="28"/>
        </w:rPr>
        <w:t>環節：綜合討論</w:t>
      </w:r>
      <w:r w:rsidRPr="0071678F">
        <w:rPr>
          <w:rFonts w:ascii="標楷體" w:eastAsia="標楷體" w:hAnsi="標楷體"/>
          <w:sz w:val="28"/>
          <w:szCs w:val="28"/>
        </w:rPr>
        <w:t>(15:</w:t>
      </w:r>
      <w:r w:rsidRPr="0071678F">
        <w:rPr>
          <w:rFonts w:ascii="標楷體" w:eastAsia="標楷體" w:hAnsi="標楷體" w:hint="eastAsia"/>
          <w:sz w:val="28"/>
          <w:szCs w:val="28"/>
        </w:rPr>
        <w:t>00</w:t>
      </w:r>
      <w:r w:rsidRPr="0071678F">
        <w:rPr>
          <w:rFonts w:ascii="標楷體" w:eastAsia="標楷體" w:hAnsi="標楷體"/>
          <w:sz w:val="28"/>
          <w:szCs w:val="28"/>
        </w:rPr>
        <w:t>~16:</w:t>
      </w:r>
      <w:r w:rsidRPr="0071678F">
        <w:rPr>
          <w:rFonts w:ascii="標楷體" w:eastAsia="標楷體" w:hAnsi="標楷體" w:hint="eastAsia"/>
          <w:sz w:val="28"/>
          <w:szCs w:val="28"/>
        </w:rPr>
        <w:t>4</w:t>
      </w:r>
      <w:r w:rsidRPr="0071678F">
        <w:rPr>
          <w:rFonts w:ascii="標楷體" w:eastAsia="標楷體" w:hAnsi="標楷體"/>
          <w:sz w:val="28"/>
          <w:szCs w:val="28"/>
        </w:rPr>
        <w:t>0</w:t>
      </w:r>
      <w:r w:rsidRPr="0071678F">
        <w:rPr>
          <w:rFonts w:ascii="標楷體" w:eastAsia="標楷體" w:hAnsi="標楷體" w:hint="eastAsia"/>
          <w:sz w:val="28"/>
          <w:szCs w:val="28"/>
        </w:rPr>
        <w:t>，10</w:t>
      </w:r>
      <w:r w:rsidRPr="0071678F">
        <w:rPr>
          <w:rFonts w:ascii="標楷體" w:eastAsia="標楷體" w:hAnsi="標楷體"/>
          <w:sz w:val="28"/>
          <w:szCs w:val="28"/>
        </w:rPr>
        <w:t>0</w:t>
      </w:r>
      <w:r w:rsidRPr="0071678F">
        <w:rPr>
          <w:rFonts w:ascii="標楷體" w:eastAsia="標楷體" w:hAnsi="標楷體" w:hint="eastAsia"/>
          <w:sz w:val="28"/>
          <w:szCs w:val="28"/>
        </w:rPr>
        <w:t>分鐘</w:t>
      </w:r>
      <w:r w:rsidRPr="0071678F">
        <w:rPr>
          <w:rFonts w:ascii="標楷體" w:eastAsia="標楷體" w:hAnsi="標楷體"/>
          <w:sz w:val="28"/>
          <w:szCs w:val="28"/>
        </w:rPr>
        <w:t>)</w:t>
      </w:r>
    </w:p>
    <w:p w14:paraId="2D107D9D" w14:textId="6A6E8CBC" w:rsidR="0071678F" w:rsidRPr="0078466A" w:rsidRDefault="0071678F" w:rsidP="00513209">
      <w:pPr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 w:rsidRPr="0078466A">
        <w:rPr>
          <w:rFonts w:ascii="標楷體" w:eastAsia="標楷體" w:hAnsi="標楷體" w:hint="eastAsia"/>
          <w:b/>
          <w:bCs/>
          <w:sz w:val="28"/>
          <w:szCs w:val="28"/>
        </w:rPr>
        <w:t>簡報內容回應</w:t>
      </w:r>
      <w:r w:rsidR="0078466A">
        <w:rPr>
          <w:rFonts w:ascii="標楷體" w:eastAsia="標楷體" w:hAnsi="標楷體" w:hint="eastAsia"/>
          <w:b/>
          <w:bCs/>
          <w:sz w:val="28"/>
          <w:szCs w:val="28"/>
        </w:rPr>
        <w:t>(藥品科提供</w:t>
      </w:r>
      <w:r w:rsidR="000A50B9">
        <w:rPr>
          <w:rFonts w:ascii="標楷體" w:eastAsia="標楷體" w:hAnsi="標楷體" w:hint="eastAsia"/>
          <w:b/>
          <w:bCs/>
          <w:sz w:val="28"/>
          <w:szCs w:val="28"/>
        </w:rPr>
        <w:t>_灰底為簡報內容</w:t>
      </w:r>
      <w:r w:rsidR="0078466A">
        <w:rPr>
          <w:rFonts w:ascii="標楷體" w:eastAsia="標楷體" w:hAnsi="標楷體" w:hint="eastAsia"/>
          <w:b/>
          <w:bCs/>
          <w:sz w:val="28"/>
          <w:szCs w:val="28"/>
        </w:rPr>
        <w:t>)</w:t>
      </w:r>
      <w:r w:rsidRPr="0078466A">
        <w:rPr>
          <w:rFonts w:ascii="標楷體" w:eastAsia="標楷體" w:hAnsi="標楷體" w:hint="eastAsia"/>
          <w:b/>
          <w:bCs/>
          <w:sz w:val="28"/>
          <w:szCs w:val="28"/>
        </w:rPr>
        <w:t>:</w:t>
      </w:r>
    </w:p>
    <w:p w14:paraId="1FC9A2C7" w14:textId="21AB054B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現況</w:t>
      </w:r>
      <w:proofErr w:type="gramStart"/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一</w:t>
      </w:r>
      <w:proofErr w:type="gramEnd"/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>：</w:t>
      </w:r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保險人願付單價無法預測</w:t>
      </w:r>
    </w:p>
    <w:p w14:paraId="15766744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 xml:space="preserve">- </w:t>
      </w:r>
      <w:proofErr w:type="gramStart"/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同類別新藥</w:t>
      </w:r>
      <w:proofErr w:type="gramEnd"/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採用不同核價原則</w:t>
      </w: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br/>
        <w:t>- 核價後面臨難以預期之MEA固定折扣建議</w:t>
      </w: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br/>
        <w:t xml:space="preserve">- 以收載超過5年之藥品作為核價參考品(不符合法規) </w:t>
      </w:r>
    </w:p>
    <w:p w14:paraId="7A644D4D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>現況二：MEA總量</w:t>
      </w:r>
      <w:proofErr w:type="gramStart"/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>管控無啟動</w:t>
      </w:r>
      <w:proofErr w:type="gramEnd"/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 xml:space="preserve">門檻依據，額度與還款比例難以預測 </w:t>
      </w:r>
    </w:p>
    <w:p w14:paraId="74F68C9D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color w:val="000000" w:themeColor="text1"/>
          <w:sz w:val="28"/>
          <w:szCs w:val="28"/>
          <w:shd w:val="pct15" w:color="auto" w:fill="FFFFFF"/>
        </w:rPr>
        <w:t xml:space="preserve">- 無論預估藥費規模或財務衝擊大小，皆簽訂MEA進行總量管控   </w:t>
      </w:r>
    </w:p>
    <w:p w14:paraId="317D56CD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color w:val="000000" w:themeColor="text1"/>
          <w:sz w:val="28"/>
          <w:szCs w:val="28"/>
          <w:shd w:val="pct15" w:color="auto" w:fill="FFFFFF"/>
        </w:rPr>
        <w:t>- MEA限量額度設定無方法學依據</w:t>
      </w:r>
    </w:p>
    <w:p w14:paraId="3077C260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color w:val="000000" w:themeColor="text1"/>
          <w:sz w:val="28"/>
          <w:szCs w:val="28"/>
          <w:shd w:val="pct15" w:color="auto" w:fill="FFFFFF"/>
        </w:rPr>
        <w:t>- MEA超額還款比例不符合風險分攤原則</w:t>
      </w:r>
    </w:p>
    <w:p w14:paraId="7D68B6C9" w14:textId="0969248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sz w:val="28"/>
          <w:szCs w:val="28"/>
          <w:shd w:val="pct15" w:color="auto" w:fill="FFFFFF"/>
        </w:rPr>
        <w:t>建議：</w:t>
      </w: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回歸管理目的</w:t>
      </w:r>
    </w:p>
    <w:p w14:paraId="35393C06" w14:textId="3986F4C6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管理工具應對應欲管理之不確定性，避免多項措施重複管理相同風險。</w:t>
      </w:r>
      <w:r w:rsidRPr="0085188E">
        <w:rPr>
          <w:rFonts w:ascii="標楷體" w:eastAsia="標楷體" w:hAnsi="標楷體" w:cs="Times New Roman"/>
          <w:color w:val="07162D"/>
          <w:sz w:val="28"/>
          <w:szCs w:val="28"/>
          <w:shd w:val="pct15" w:color="auto" w:fill="FFFFFF"/>
        </w:rPr>
        <w:t>給付協議建立前，應先明確界定欲處理的臨床、財務或使用量不確定性，再依管理目的選擇適當工具。當原始不確定性降低時，相關管理措施亦應適時調整或解除。</w:t>
      </w:r>
    </w:p>
    <w:p w14:paraId="6FC08785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D80228"/>
          <w:sz w:val="28"/>
          <w:szCs w:val="28"/>
          <w:shd w:val="pct15" w:color="auto" w:fill="FFFFFF"/>
        </w:rPr>
        <w:t>先界定風險，再選擇工具，避免價格、返還比例與限量額度重複管理。建立定期檢視及調整原則。</w:t>
      </w:r>
    </w:p>
    <w:p w14:paraId="481BF53F" w14:textId="6BFE62B6" w:rsidR="0071678F" w:rsidRPr="0078466A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b/>
          <w:bCs/>
          <w:sz w:val="28"/>
          <w:szCs w:val="28"/>
          <w:u w:val="single"/>
        </w:rPr>
      </w:pPr>
      <w:proofErr w:type="gramStart"/>
      <w:r w:rsidRPr="0078466A">
        <w:rPr>
          <w:rFonts w:ascii="標楷體" w:eastAsia="標楷體" w:hAnsi="標楷體" w:cs="Times New Roman" w:hint="eastAsia"/>
          <w:b/>
          <w:bCs/>
          <w:sz w:val="28"/>
          <w:szCs w:val="28"/>
          <w:u w:val="single"/>
        </w:rPr>
        <w:t>本署</w:t>
      </w:r>
      <w:r w:rsidRPr="0078466A">
        <w:rPr>
          <w:rFonts w:ascii="標楷體" w:eastAsia="標楷體" w:hAnsi="標楷體" w:cs="Times New Roman" w:hint="eastAsia"/>
          <w:b/>
          <w:bCs/>
          <w:color w:val="000000" w:themeColor="text1"/>
          <w:sz w:val="28"/>
          <w:szCs w:val="28"/>
          <w:u w:val="single"/>
        </w:rPr>
        <w:t>說明</w:t>
      </w:r>
      <w:proofErr w:type="gramEnd"/>
      <w:r w:rsidRPr="0078466A">
        <w:rPr>
          <w:rFonts w:ascii="標楷體" w:eastAsia="標楷體" w:hAnsi="標楷體" w:cs="Times New Roman" w:hint="eastAsia"/>
          <w:b/>
          <w:bCs/>
          <w:color w:val="000000" w:themeColor="text1"/>
          <w:sz w:val="28"/>
          <w:szCs w:val="28"/>
          <w:u w:val="single"/>
        </w:rPr>
        <w:t>：</w:t>
      </w:r>
    </w:p>
    <w:p w14:paraId="739C5C82" w14:textId="77777777" w:rsidR="0071678F" w:rsidRPr="00CD2149" w:rsidRDefault="0071678F" w:rsidP="0071678F">
      <w:pPr>
        <w:pStyle w:val="Web"/>
        <w:numPr>
          <w:ilvl w:val="0"/>
          <w:numId w:val="10"/>
        </w:numPr>
        <w:shd w:val="clear" w:color="auto" w:fill="FFFFFF"/>
        <w:tabs>
          <w:tab w:val="left" w:pos="567"/>
        </w:tabs>
        <w:spacing w:before="0" w:beforeAutospacing="0" w:after="0" w:afterAutospacing="0" w:line="440" w:lineRule="exact"/>
        <w:ind w:left="567" w:hanging="567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/>
          <w:b/>
          <w:bCs/>
          <w:color w:val="07162D"/>
          <w:sz w:val="28"/>
          <w:szCs w:val="28"/>
        </w:rPr>
        <w:t>現況</w:t>
      </w:r>
      <w:proofErr w:type="gramStart"/>
      <w:r w:rsidRPr="00CD2149">
        <w:rPr>
          <w:rFonts w:ascii="標楷體" w:eastAsia="標楷體" w:hAnsi="標楷體" w:cs="Times New Roman"/>
          <w:b/>
          <w:bCs/>
          <w:color w:val="07162D"/>
          <w:sz w:val="28"/>
          <w:szCs w:val="28"/>
        </w:rPr>
        <w:t>一</w:t>
      </w:r>
      <w:proofErr w:type="gramEnd"/>
    </w:p>
    <w:p w14:paraId="5095D346" w14:textId="77777777" w:rsidR="0071678F" w:rsidRPr="00CD2149" w:rsidRDefault="0071678F" w:rsidP="0071678F">
      <w:pPr>
        <w:pStyle w:val="Web"/>
        <w:numPr>
          <w:ilvl w:val="0"/>
          <w:numId w:val="12"/>
        </w:numPr>
        <w:shd w:val="clear" w:color="auto" w:fill="FFFFFF"/>
        <w:tabs>
          <w:tab w:val="left" w:pos="567"/>
        </w:tabs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就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核價原則與價值評估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，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本署辦理</w:t>
      </w:r>
      <w:proofErr w:type="gramEnd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新</w:t>
      </w:r>
      <w:proofErr w:type="gramStart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藥核價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均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依</w:t>
      </w:r>
      <w:proofErr w:type="gramEnd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全民健康保險藥物給付項目及支付標準相關規定，綜合考量藥品臨床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lastRenderedPageBreak/>
        <w:t>價值、治療地位、HTA結果、國際價格及財務影響等因素審議決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定其核價及</w:t>
      </w:r>
      <w:r w:rsidRPr="00CD2149">
        <w:rPr>
          <w:rFonts w:ascii="標楷體" w:eastAsia="標楷體" w:hAnsi="標楷體" w:cs="Times New Roman"/>
          <w:color w:val="000000" w:themeColor="text1"/>
          <w:sz w:val="28"/>
          <w:szCs w:val="28"/>
        </w:rPr>
        <w:t>MEA固定折扣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。</w:t>
      </w:r>
    </w:p>
    <w:p w14:paraId="1ED6FB93" w14:textId="77777777" w:rsidR="0071678F" w:rsidRPr="00CD2149" w:rsidRDefault="0071678F" w:rsidP="0071678F">
      <w:pPr>
        <w:pStyle w:val="Web"/>
        <w:numPr>
          <w:ilvl w:val="0"/>
          <w:numId w:val="12"/>
        </w:numPr>
        <w:shd w:val="clear" w:color="auto" w:fill="FFFFFF"/>
        <w:tabs>
          <w:tab w:val="left" w:pos="567"/>
        </w:tabs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參考品之選擇</w:t>
      </w:r>
      <w:proofErr w:type="gramStart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係依核價</w:t>
      </w:r>
      <w:proofErr w:type="gramEnd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原則及臨床治療地位綜合評估，現行法規並未以藥品收載年限作為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唯一考量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。</w:t>
      </w:r>
    </w:p>
    <w:p w14:paraId="387DF365" w14:textId="387CE344" w:rsidR="0071678F" w:rsidRPr="00E96E49" w:rsidRDefault="0078466A" w:rsidP="00E96E49">
      <w:pPr>
        <w:pStyle w:val="Web"/>
        <w:shd w:val="clear" w:color="auto" w:fill="FFFFFF"/>
        <w:tabs>
          <w:tab w:val="left" w:pos="567"/>
        </w:tabs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noProof/>
          <w:sz w:val="28"/>
          <w:szCs w:val="28"/>
          <w:lang w:val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1F497" wp14:editId="78CC05B2">
                <wp:simplePos x="0" y="0"/>
                <wp:positionH relativeFrom="column">
                  <wp:posOffset>-153035</wp:posOffset>
                </wp:positionH>
                <wp:positionV relativeFrom="paragraph">
                  <wp:posOffset>53975</wp:posOffset>
                </wp:positionV>
                <wp:extent cx="5972175" cy="2790825"/>
                <wp:effectExtent l="0" t="0" r="28575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2790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2FBF2" id="矩形 1" o:spid="_x0000_s1026" style="position:absolute;margin-left:-12.05pt;margin-top:4.25pt;width:470.25pt;height:21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" filled="f" strokecolor="black [3213]" strokeweight="1pt"/>
            </w:pict>
          </mc:Fallback>
        </mc:AlternateContent>
      </w:r>
      <w:r w:rsidR="0071678F" w:rsidRPr="00E96E49">
        <w:rPr>
          <w:rFonts w:ascii="標楷體" w:eastAsia="標楷體" w:hAnsi="標楷體" w:cs="Times New Roman" w:hint="eastAsia"/>
          <w:sz w:val="28"/>
          <w:szCs w:val="28"/>
        </w:rPr>
        <w:t>※藥物支付標準第19條</w:t>
      </w:r>
    </w:p>
    <w:p w14:paraId="52EF3DFC" w14:textId="77777777" w:rsidR="0071678F" w:rsidRPr="00E96E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480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新藥之核價參考品選取原則如下：</w:t>
      </w:r>
    </w:p>
    <w:p w14:paraId="3F29D3A6" w14:textId="77777777" w:rsidR="0071678F" w:rsidRPr="00E96E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1040" w:hangingChars="200" w:hanging="560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一、依解剖治療化學分類系統（ATC classification） 為篩選基礎。</w:t>
      </w:r>
    </w:p>
    <w:p w14:paraId="42A95EBF" w14:textId="77777777" w:rsidR="0071678F" w:rsidRPr="00E96E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1040" w:hangingChars="200" w:hanging="560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二、原則上以同藥理作用或同治療類別之藥品為選取對象。</w:t>
      </w:r>
    </w:p>
    <w:p w14:paraId="76A49E40" w14:textId="77777777" w:rsidR="0071678F" w:rsidRPr="00E96E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1040" w:hangingChars="200" w:hanging="560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三、若有執行臨床對照試驗（head-to-head comparison） 之藥品，列為重要參考。</w:t>
      </w:r>
    </w:p>
    <w:p w14:paraId="2457E76D" w14:textId="77777777" w:rsidR="0071678F" w:rsidRPr="00E96E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1040" w:hangingChars="200" w:hanging="560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四、</w:t>
      </w:r>
      <w:proofErr w:type="gramStart"/>
      <w:r w:rsidRPr="00E96E49">
        <w:rPr>
          <w:rFonts w:ascii="標楷體" w:eastAsia="標楷體" w:hAnsi="標楷體" w:cs="Times New Roman" w:hint="eastAsia"/>
          <w:sz w:val="28"/>
          <w:szCs w:val="28"/>
        </w:rPr>
        <w:t>新藥經藥物</w:t>
      </w:r>
      <w:proofErr w:type="gramEnd"/>
      <w:r w:rsidRPr="00E96E49">
        <w:rPr>
          <w:rFonts w:ascii="標楷體" w:eastAsia="標楷體" w:hAnsi="標楷體" w:cs="Times New Roman" w:hint="eastAsia"/>
          <w:sz w:val="28"/>
          <w:szCs w:val="28"/>
        </w:rPr>
        <w:t>擬訂會議審議</w:t>
      </w:r>
      <w:proofErr w:type="gramStart"/>
      <w:r w:rsidRPr="00E96E49">
        <w:rPr>
          <w:rFonts w:ascii="標楷體" w:eastAsia="標楷體" w:hAnsi="標楷體" w:cs="Times New Roman" w:hint="eastAsia"/>
          <w:sz w:val="28"/>
          <w:szCs w:val="28"/>
        </w:rPr>
        <w:t>認屬第</w:t>
      </w:r>
      <w:proofErr w:type="gramEnd"/>
      <w:r w:rsidRPr="00E96E49">
        <w:rPr>
          <w:rFonts w:ascii="標楷體" w:eastAsia="標楷體" w:hAnsi="標楷體" w:cs="Times New Roman" w:hint="eastAsia"/>
          <w:sz w:val="28"/>
          <w:szCs w:val="28"/>
        </w:rPr>
        <w:t xml:space="preserve"> 2A 類</w:t>
      </w:r>
      <w:proofErr w:type="gramStart"/>
      <w:r w:rsidRPr="00E96E49">
        <w:rPr>
          <w:rFonts w:ascii="標楷體" w:eastAsia="標楷體" w:hAnsi="標楷體" w:cs="Times New Roman" w:hint="eastAsia"/>
          <w:sz w:val="28"/>
          <w:szCs w:val="28"/>
        </w:rPr>
        <w:t>新藥者</w:t>
      </w:r>
      <w:proofErr w:type="gramEnd"/>
      <w:r w:rsidRPr="00E96E49">
        <w:rPr>
          <w:rFonts w:ascii="標楷體" w:eastAsia="標楷體" w:hAnsi="標楷體" w:cs="Times New Roman" w:hint="eastAsia"/>
          <w:sz w:val="28"/>
          <w:szCs w:val="28"/>
        </w:rPr>
        <w:t>：</w:t>
      </w:r>
    </w:p>
    <w:p w14:paraId="5B5602E8" w14:textId="77777777" w:rsidR="0071678F" w:rsidRPr="00E96E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480" w:firstLineChars="100" w:firstLine="280"/>
        <w:jc w:val="both"/>
        <w:rPr>
          <w:rFonts w:ascii="標楷體" w:eastAsia="標楷體" w:hAnsi="標楷體" w:cs="Times New Roman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（一）依選取參考品之同成分規格之原開發廠藥品為核算基準。</w:t>
      </w:r>
    </w:p>
    <w:p w14:paraId="0D8F6814" w14:textId="1C8FD6E1" w:rsidR="00E96E49" w:rsidRPr="00E96E49" w:rsidRDefault="00E96E49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317" w:left="761"/>
        <w:jc w:val="both"/>
        <w:rPr>
          <w:rFonts w:ascii="標楷體" w:eastAsia="標楷體" w:hAnsi="標楷體" w:cs="Times New Roman" w:hint="eastAsia"/>
          <w:sz w:val="28"/>
          <w:szCs w:val="28"/>
        </w:rPr>
      </w:pPr>
      <w:r w:rsidRPr="00E96E49">
        <w:rPr>
          <w:rFonts w:ascii="標楷體" w:eastAsia="標楷體" w:hAnsi="標楷體" w:cs="Times New Roman" w:hint="eastAsia"/>
          <w:sz w:val="28"/>
          <w:szCs w:val="28"/>
        </w:rPr>
        <w:t>（</w:t>
      </w:r>
      <w:r w:rsidRPr="00E96E49">
        <w:rPr>
          <w:rFonts w:ascii="標楷體" w:eastAsia="標楷體" w:hAnsi="標楷體" w:cs="Times New Roman" w:hint="eastAsia"/>
          <w:sz w:val="28"/>
          <w:szCs w:val="28"/>
        </w:rPr>
        <w:t>二</w:t>
      </w:r>
      <w:r w:rsidRPr="00E96E49">
        <w:rPr>
          <w:rFonts w:ascii="標楷體" w:eastAsia="標楷體" w:hAnsi="標楷體" w:cs="Times New Roman" w:hint="eastAsia"/>
          <w:sz w:val="28"/>
          <w:szCs w:val="28"/>
        </w:rPr>
        <w:t>）</w:t>
      </w:r>
      <w:r w:rsidR="0071678F" w:rsidRPr="00E96E49">
        <w:rPr>
          <w:rFonts w:ascii="標楷體" w:eastAsia="標楷體" w:hAnsi="標楷體" w:cs="Times New Roman" w:hint="eastAsia"/>
          <w:sz w:val="28"/>
          <w:szCs w:val="28"/>
        </w:rPr>
        <w:t>核價參考品以最近五年收載之療效類似藥品為主要參考。</w:t>
      </w:r>
    </w:p>
    <w:p w14:paraId="45261D25" w14:textId="77777777" w:rsidR="0071678F" w:rsidRPr="00CD2149" w:rsidRDefault="0071678F" w:rsidP="0071678F">
      <w:pPr>
        <w:pStyle w:val="Web"/>
        <w:numPr>
          <w:ilvl w:val="0"/>
          <w:numId w:val="10"/>
        </w:numPr>
        <w:shd w:val="clear" w:color="auto" w:fill="FFFFFF"/>
        <w:tabs>
          <w:tab w:val="left" w:pos="567"/>
        </w:tabs>
        <w:spacing w:before="0" w:beforeAutospacing="0" w:after="0" w:afterAutospacing="0" w:line="440" w:lineRule="exact"/>
        <w:ind w:left="567" w:hanging="567"/>
        <w:jc w:val="both"/>
        <w:rPr>
          <w:rFonts w:ascii="標楷體" w:eastAsia="標楷體" w:hAnsi="標楷體" w:cs="Times New Roman"/>
          <w:b/>
          <w:bCs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</w:rPr>
        <w:t>現況二</w:t>
      </w:r>
    </w:p>
    <w:p w14:paraId="6238E01E" w14:textId="77777777" w:rsidR="0071678F" w:rsidRPr="00CD2149" w:rsidRDefault="0071678F" w:rsidP="0071678F">
      <w:pPr>
        <w:pStyle w:val="Web"/>
        <w:numPr>
          <w:ilvl w:val="0"/>
          <w:numId w:val="13"/>
        </w:numPr>
        <w:shd w:val="clear" w:color="auto" w:fill="FFFFFF"/>
        <w:tabs>
          <w:tab w:val="left" w:pos="567"/>
        </w:tabs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藥品給付協議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係因應新藥導入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時因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臨床效益、使用量或財務影響等不確定性所建立之風險分擔機制，其目的在於兼顧病人及早取得治療、健保財務</w:t>
      </w:r>
      <w:proofErr w:type="gramStart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永續及有限</w:t>
      </w:r>
      <w:proofErr w:type="gramEnd"/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醫療資源之合理配置。</w:t>
      </w:r>
    </w:p>
    <w:p w14:paraId="3AFACA45" w14:textId="0FAD3F96" w:rsidR="0071678F" w:rsidRPr="00CD2149" w:rsidRDefault="0071678F" w:rsidP="0071678F">
      <w:pPr>
        <w:pStyle w:val="Web"/>
        <w:numPr>
          <w:ilvl w:val="0"/>
          <w:numId w:val="13"/>
        </w:numPr>
        <w:shd w:val="clear" w:color="auto" w:fill="FFFFFF"/>
        <w:tabs>
          <w:tab w:val="left" w:pos="567"/>
        </w:tabs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藥品給付協議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是否適用，並非僅以預估藥費規模作為判斷依據，而係綜合考量藥品臨床及財務不確定性、HTA評估結果、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同藥理機轉或治療類別藥品健保給付情形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、健保資源配置</w:t>
      </w: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及廠商提出國際價格保護及全球定價策略</w:t>
      </w:r>
      <w:r w:rsidRPr="00CD2149">
        <w:rPr>
          <w:rFonts w:ascii="標楷體" w:eastAsia="標楷體" w:hAnsi="標楷體" w:cs="Times New Roman"/>
          <w:color w:val="07162D"/>
          <w:sz w:val="28"/>
          <w:szCs w:val="28"/>
        </w:rPr>
        <w:t>等因素，依相關審議及協商程序辦理。</w:t>
      </w:r>
    </w:p>
    <w:p w14:paraId="422E9E12" w14:textId="4CF31915" w:rsidR="0071678F" w:rsidRPr="00CD2149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rPr>
          <w:rFonts w:ascii="標楷體" w:eastAsia="標楷體" w:hAnsi="標楷體" w:cs="Times New Roman"/>
          <w:b/>
          <w:bCs/>
          <w:color w:val="07162D"/>
          <w:sz w:val="28"/>
          <w:szCs w:val="28"/>
        </w:rPr>
      </w:pPr>
    </w:p>
    <w:p w14:paraId="1172ECB0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現況</w:t>
      </w:r>
      <w:proofErr w:type="gramStart"/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>三</w:t>
      </w:r>
      <w:proofErr w:type="gramEnd"/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>：</w:t>
      </w:r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多</w:t>
      </w:r>
      <w:proofErr w:type="gramStart"/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層管控疊加</w:t>
      </w:r>
      <w:proofErr w:type="gramEnd"/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 xml:space="preserve">，單價管控、總量管控、給付規定限縮搭配使用 </w:t>
      </w:r>
    </w:p>
    <w:p w14:paraId="00EECEBE" w14:textId="77777777" w:rsidR="0071678F" w:rsidRPr="0085188E" w:rsidRDefault="0071678F" w:rsidP="0078466A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  <w:t>- MEA單價管控</w:t>
      </w:r>
      <w:r w:rsidRPr="0085188E"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  <w:br/>
        <w:t xml:space="preserve">- PVA總量管控、MEA總量管控、MEA同類藥品總量管控 </w:t>
      </w:r>
    </w:p>
    <w:p w14:paraId="647E0857" w14:textId="77777777" w:rsidR="0071678F" w:rsidRPr="0085188E" w:rsidRDefault="0071678F" w:rsidP="0078466A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  <w:t xml:space="preserve">- 藥品給付規定限縮適應症範圍 </w:t>
      </w:r>
    </w:p>
    <w:p w14:paraId="5212F016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sz w:val="28"/>
          <w:szCs w:val="28"/>
          <w:shd w:val="pct15" w:color="auto" w:fill="FFFFFF"/>
        </w:rPr>
        <w:t>建議：</w:t>
      </w: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建立治理原則</w:t>
      </w:r>
    </w:p>
    <w:p w14:paraId="3B91524F" w14:textId="11C7A185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lastRenderedPageBreak/>
        <w:t>建立給付協議適用條件、工具選擇及管理強度的一致原則。</w:t>
      </w:r>
      <w:r w:rsidRPr="0085188E">
        <w:rPr>
          <w:rFonts w:ascii="標楷體" w:eastAsia="標楷體" w:hAnsi="標楷體" w:cs="Times New Roman"/>
          <w:color w:val="07162D"/>
          <w:sz w:val="28"/>
          <w:szCs w:val="28"/>
          <w:shd w:val="pct15" w:color="auto" w:fill="FFFFFF"/>
        </w:rPr>
        <w:t>透過共同且可遵循的決策架構，提升不同</w:t>
      </w:r>
      <w:proofErr w:type="gramStart"/>
      <w:r w:rsidRPr="0085188E">
        <w:rPr>
          <w:rFonts w:ascii="標楷體" w:eastAsia="標楷體" w:hAnsi="標楷體" w:cs="Times New Roman"/>
          <w:color w:val="07162D"/>
          <w:sz w:val="28"/>
          <w:szCs w:val="28"/>
          <w:shd w:val="pct15" w:color="auto" w:fill="FFFFFF"/>
        </w:rPr>
        <w:t>案件間的一致性</w:t>
      </w:r>
      <w:proofErr w:type="gramEnd"/>
      <w:r w:rsidRPr="0085188E">
        <w:rPr>
          <w:rFonts w:ascii="標楷體" w:eastAsia="標楷體" w:hAnsi="標楷體" w:cs="Times New Roman"/>
          <w:color w:val="07162D"/>
          <w:sz w:val="28"/>
          <w:szCs w:val="28"/>
          <w:shd w:val="pct15" w:color="auto" w:fill="FFFFFF"/>
        </w:rPr>
        <w:t xml:space="preserve">，並明確規範協議變更、調整及續約原則，降低個案裁量與人員異動造成的差異。 </w:t>
      </w:r>
    </w:p>
    <w:p w14:paraId="510F8421" w14:textId="4277AD19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D80228"/>
          <w:sz w:val="28"/>
          <w:szCs w:val="28"/>
          <w:shd w:val="pct15" w:color="auto" w:fill="FFFFFF"/>
        </w:rPr>
        <w:t>以價值基準、風險分攤與比例原則為基礎</w:t>
      </w:r>
      <w:r w:rsidRPr="0085188E">
        <w:rPr>
          <w:rFonts w:ascii="標楷體" w:eastAsia="標楷體" w:hAnsi="標楷體" w:cs="Times New Roman" w:hint="eastAsia"/>
          <w:color w:val="D80228"/>
          <w:sz w:val="28"/>
          <w:szCs w:val="28"/>
          <w:shd w:val="pct15" w:color="auto" w:fill="FFFFFF"/>
        </w:rPr>
        <w:t>。</w:t>
      </w:r>
      <w:r w:rsidRPr="0085188E">
        <w:rPr>
          <w:rFonts w:ascii="標楷體" w:eastAsia="標楷體" w:hAnsi="標楷體" w:cs="Times New Roman"/>
          <w:color w:val="D80228"/>
          <w:sz w:val="28"/>
          <w:szCs w:val="28"/>
          <w:shd w:val="pct15" w:color="auto" w:fill="FFFFFF"/>
        </w:rPr>
        <w:t>提高案件間一致性及可預測性降低行政裁量造成之差異</w:t>
      </w:r>
      <w:r w:rsidRPr="0085188E">
        <w:rPr>
          <w:rFonts w:ascii="標楷體" w:eastAsia="標楷體" w:hAnsi="標楷體" w:cs="Times New Roman" w:hint="eastAsia"/>
          <w:color w:val="D80228"/>
          <w:sz w:val="28"/>
          <w:szCs w:val="28"/>
          <w:shd w:val="pct15" w:color="auto" w:fill="FFFFFF"/>
        </w:rPr>
        <w:t>。</w:t>
      </w:r>
    </w:p>
    <w:p w14:paraId="5B4CC140" w14:textId="77777777" w:rsidR="0071678F" w:rsidRPr="0078466A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b/>
          <w:bCs/>
          <w:sz w:val="28"/>
          <w:szCs w:val="28"/>
        </w:rPr>
      </w:pPr>
    </w:p>
    <w:p w14:paraId="2A9E973B" w14:textId="727E227F" w:rsidR="0071678F" w:rsidRPr="0078466A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b/>
          <w:bCs/>
          <w:color w:val="07162D"/>
          <w:sz w:val="28"/>
          <w:szCs w:val="28"/>
          <w:u w:val="single"/>
        </w:rPr>
      </w:pPr>
      <w:proofErr w:type="gramStart"/>
      <w:r w:rsidRPr="0078466A">
        <w:rPr>
          <w:rFonts w:ascii="標楷體" w:eastAsia="標楷體" w:hAnsi="標楷體" w:cs="Times New Roman" w:hint="eastAsia"/>
          <w:b/>
          <w:bCs/>
          <w:sz w:val="28"/>
          <w:szCs w:val="28"/>
          <w:u w:val="single"/>
        </w:rPr>
        <w:t>本署說明</w:t>
      </w:r>
      <w:proofErr w:type="gramEnd"/>
      <w:r w:rsidRPr="0078466A">
        <w:rPr>
          <w:rFonts w:ascii="標楷體" w:eastAsia="標楷體" w:hAnsi="標楷體" w:cs="Times New Roman" w:hint="eastAsia"/>
          <w:b/>
          <w:bCs/>
          <w:sz w:val="28"/>
          <w:szCs w:val="28"/>
          <w:u w:val="single"/>
        </w:rPr>
        <w:t>：</w:t>
      </w:r>
    </w:p>
    <w:p w14:paraId="211C8A40" w14:textId="77777777" w:rsidR="0071678F" w:rsidRPr="00CD2149" w:rsidRDefault="0071678F" w:rsidP="0071678F">
      <w:pPr>
        <w:pStyle w:val="a9"/>
        <w:numPr>
          <w:ilvl w:val="0"/>
          <w:numId w:val="8"/>
        </w:numPr>
        <w:spacing w:after="0" w:line="520" w:lineRule="exact"/>
        <w:ind w:left="567" w:hanging="567"/>
        <w:contextualSpacing w:val="0"/>
        <w:jc w:val="both"/>
        <w:rPr>
          <w:rFonts w:ascii="標楷體" w:eastAsia="標楷體" w:hAnsi="標楷體"/>
          <w:sz w:val="28"/>
          <w:szCs w:val="28"/>
        </w:rPr>
      </w:pPr>
      <w:r w:rsidRPr="00CD2149">
        <w:rPr>
          <w:rFonts w:ascii="標楷體" w:eastAsia="標楷體" w:hAnsi="標楷體" w:hint="eastAsia"/>
          <w:sz w:val="28"/>
          <w:szCs w:val="28"/>
        </w:rPr>
        <w:t>為了</w:t>
      </w:r>
      <w:r w:rsidRPr="00CD2149">
        <w:rPr>
          <w:rFonts w:ascii="標楷體" w:eastAsia="標楷體" w:hAnsi="標楷體"/>
          <w:sz w:val="28"/>
          <w:szCs w:val="28"/>
        </w:rPr>
        <w:t>在</w:t>
      </w:r>
      <w:r w:rsidRPr="00CD2149">
        <w:rPr>
          <w:rFonts w:ascii="標楷體" w:eastAsia="標楷體" w:hAnsi="標楷體" w:hint="eastAsia"/>
          <w:sz w:val="28"/>
          <w:szCs w:val="28"/>
        </w:rPr>
        <w:t>用藥</w:t>
      </w:r>
      <w:r w:rsidRPr="00CD2149">
        <w:rPr>
          <w:rFonts w:ascii="標楷體" w:eastAsia="標楷體" w:hAnsi="標楷體"/>
          <w:sz w:val="28"/>
          <w:szCs w:val="28"/>
        </w:rPr>
        <w:t>需求和</w:t>
      </w:r>
      <w:r w:rsidRPr="00CD2149">
        <w:rPr>
          <w:rFonts w:ascii="標楷體" w:eastAsia="標楷體" w:hAnsi="標楷體" w:hint="eastAsia"/>
          <w:sz w:val="28"/>
          <w:szCs w:val="28"/>
        </w:rPr>
        <w:t>健保財務永續之間取得平衡，</w:t>
      </w:r>
      <w:proofErr w:type="gramStart"/>
      <w:r w:rsidRPr="00CD2149">
        <w:rPr>
          <w:rFonts w:ascii="標楷體" w:eastAsia="標楷體" w:hAnsi="標楷體" w:hint="eastAsia"/>
          <w:sz w:val="28"/>
          <w:szCs w:val="28"/>
        </w:rPr>
        <w:t>本署</w:t>
      </w:r>
      <w:r w:rsidRPr="00CD2149">
        <w:rPr>
          <w:rFonts w:ascii="標楷體" w:eastAsia="標楷體" w:hAnsi="標楷體"/>
          <w:sz w:val="28"/>
          <w:szCs w:val="28"/>
        </w:rPr>
        <w:t>會</w:t>
      </w:r>
      <w:proofErr w:type="gramEnd"/>
      <w:r w:rsidRPr="00CD2149">
        <w:rPr>
          <w:rFonts w:ascii="標楷體" w:eastAsia="標楷體" w:hAnsi="標楷體" w:hint="eastAsia"/>
          <w:sz w:val="28"/>
          <w:szCs w:val="28"/>
        </w:rPr>
        <w:t>參考專家會議建議，</w:t>
      </w:r>
      <w:r w:rsidRPr="00CD2149">
        <w:rPr>
          <w:rFonts w:ascii="標楷體" w:eastAsia="標楷體" w:hAnsi="標楷體"/>
          <w:sz w:val="28"/>
          <w:szCs w:val="28"/>
        </w:rPr>
        <w:t>與廠商協議</w:t>
      </w:r>
      <w:r w:rsidRPr="00CD2149">
        <w:rPr>
          <w:rFonts w:ascii="標楷體" w:eastAsia="標楷體" w:hAnsi="標楷體" w:hint="eastAsia"/>
          <w:sz w:val="28"/>
          <w:szCs w:val="28"/>
        </w:rPr>
        <w:t>藥品</w:t>
      </w:r>
      <w:r w:rsidRPr="00CD2149">
        <w:rPr>
          <w:rFonts w:ascii="標楷體" w:eastAsia="標楷體" w:hAnsi="標楷體"/>
          <w:sz w:val="28"/>
          <w:szCs w:val="28"/>
        </w:rPr>
        <w:t>給付模式</w:t>
      </w:r>
      <w:r w:rsidRPr="00CD2149">
        <w:rPr>
          <w:rFonts w:ascii="標楷體" w:eastAsia="標楷體" w:hAnsi="標楷體" w:hint="eastAsia"/>
          <w:sz w:val="28"/>
          <w:szCs w:val="28"/>
        </w:rPr>
        <w:t>及財務風險分攤方案</w:t>
      </w:r>
      <w:r w:rsidRPr="00CD2149">
        <w:rPr>
          <w:rFonts w:ascii="標楷體" w:eastAsia="標楷體" w:hAnsi="標楷體"/>
          <w:sz w:val="28"/>
          <w:szCs w:val="28"/>
        </w:rPr>
        <w:t>，倘該藥品</w:t>
      </w:r>
      <w:r w:rsidRPr="00CD2149">
        <w:rPr>
          <w:rFonts w:ascii="標楷體" w:eastAsia="標楷體" w:hAnsi="標楷體" w:hint="eastAsia"/>
          <w:sz w:val="28"/>
          <w:szCs w:val="28"/>
        </w:rPr>
        <w:t>：</w:t>
      </w:r>
    </w:p>
    <w:p w14:paraId="5EF08E97" w14:textId="77777777" w:rsidR="0071678F" w:rsidRPr="00CD2149" w:rsidRDefault="0071678F" w:rsidP="0071678F">
      <w:pPr>
        <w:pStyle w:val="a9"/>
        <w:numPr>
          <w:ilvl w:val="0"/>
          <w:numId w:val="9"/>
        </w:numPr>
        <w:spacing w:after="0" w:line="520" w:lineRule="exact"/>
        <w:ind w:left="709" w:hanging="283"/>
        <w:contextualSpacing w:val="0"/>
        <w:jc w:val="both"/>
        <w:rPr>
          <w:rFonts w:ascii="標楷體" w:eastAsia="標楷體" w:hAnsi="標楷體"/>
          <w:sz w:val="28"/>
          <w:szCs w:val="28"/>
        </w:rPr>
      </w:pPr>
      <w:r w:rsidRPr="00CD2149">
        <w:rPr>
          <w:rFonts w:ascii="標楷體" w:eastAsia="標楷體" w:hAnsi="標楷體"/>
          <w:sz w:val="28"/>
          <w:szCs w:val="28"/>
          <w:u w:val="single"/>
        </w:rPr>
        <w:t>健保</w:t>
      </w:r>
      <w:r w:rsidRPr="00CD2149">
        <w:rPr>
          <w:rFonts w:ascii="標楷體" w:eastAsia="標楷體" w:hAnsi="標楷體" w:hint="eastAsia"/>
          <w:sz w:val="28"/>
          <w:szCs w:val="28"/>
          <w:u w:val="single"/>
        </w:rPr>
        <w:t>已</w:t>
      </w:r>
      <w:r w:rsidRPr="00CD2149">
        <w:rPr>
          <w:rFonts w:ascii="標楷體" w:eastAsia="標楷體" w:hAnsi="標楷體"/>
          <w:sz w:val="28"/>
          <w:szCs w:val="28"/>
          <w:u w:val="single"/>
        </w:rPr>
        <w:t>給付具同治療地位且療效相當</w:t>
      </w:r>
      <w:r w:rsidRPr="00CD2149">
        <w:rPr>
          <w:rFonts w:ascii="標楷體" w:eastAsia="標楷體" w:hAnsi="標楷體" w:hint="eastAsia"/>
          <w:sz w:val="28"/>
          <w:szCs w:val="28"/>
        </w:rPr>
        <w:t>者</w:t>
      </w:r>
      <w:r w:rsidRPr="00CD2149">
        <w:rPr>
          <w:rFonts w:ascii="標楷體" w:eastAsia="標楷體" w:hAnsi="標楷體"/>
          <w:sz w:val="28"/>
          <w:szCs w:val="28"/>
        </w:rPr>
        <w:t>，會以</w:t>
      </w:r>
      <w:r w:rsidRPr="00CD2149">
        <w:rPr>
          <w:rFonts w:ascii="標楷體" w:eastAsia="標楷體" w:hAnsi="標楷體"/>
          <w:sz w:val="28"/>
          <w:szCs w:val="28"/>
          <w:u w:val="single"/>
        </w:rPr>
        <w:t>相近人年藥費</w:t>
      </w:r>
      <w:r w:rsidRPr="00CD2149">
        <w:rPr>
          <w:rFonts w:ascii="標楷體" w:eastAsia="標楷體" w:hAnsi="標楷體" w:hint="eastAsia"/>
          <w:sz w:val="28"/>
          <w:szCs w:val="28"/>
        </w:rPr>
        <w:t>為目標。</w:t>
      </w:r>
    </w:p>
    <w:p w14:paraId="4D9B32C9" w14:textId="77777777" w:rsidR="0071678F" w:rsidRPr="00CD2149" w:rsidRDefault="0071678F" w:rsidP="0071678F">
      <w:pPr>
        <w:pStyle w:val="a9"/>
        <w:numPr>
          <w:ilvl w:val="0"/>
          <w:numId w:val="9"/>
        </w:numPr>
        <w:spacing w:after="0" w:line="520" w:lineRule="exact"/>
        <w:ind w:left="709" w:hanging="283"/>
        <w:contextualSpacing w:val="0"/>
        <w:jc w:val="both"/>
        <w:rPr>
          <w:rFonts w:ascii="標楷體" w:eastAsia="標楷體" w:hAnsi="標楷體"/>
          <w:sz w:val="28"/>
          <w:szCs w:val="28"/>
        </w:rPr>
      </w:pPr>
      <w:r w:rsidRPr="00CD2149">
        <w:rPr>
          <w:rFonts w:ascii="標楷體" w:eastAsia="標楷體" w:hAnsi="標楷體" w:hint="eastAsia"/>
          <w:sz w:val="28"/>
          <w:szCs w:val="28"/>
          <w:u w:val="single"/>
        </w:rPr>
        <w:t>具臨床急迫需求</w:t>
      </w:r>
      <w:r w:rsidRPr="00CD2149">
        <w:rPr>
          <w:rFonts w:ascii="標楷體" w:eastAsia="標楷體" w:hAnsi="標楷體" w:hint="eastAsia"/>
          <w:sz w:val="28"/>
          <w:szCs w:val="28"/>
        </w:rPr>
        <w:t>者，無適切參考品者，則以</w:t>
      </w:r>
      <w:r w:rsidRPr="00CD2149">
        <w:rPr>
          <w:rFonts w:ascii="標楷體" w:eastAsia="標楷體" w:hAnsi="標楷體" w:hint="eastAsia"/>
          <w:sz w:val="28"/>
          <w:szCs w:val="28"/>
          <w:u w:val="single"/>
        </w:rPr>
        <w:t>年度藥費接近人均GDP及全年財務衝擊為</w:t>
      </w:r>
      <w:r w:rsidRPr="00CD2149">
        <w:rPr>
          <w:rFonts w:ascii="標楷體" w:eastAsia="標楷體" w:hAnsi="標楷體" w:hint="eastAsia"/>
          <w:sz w:val="28"/>
          <w:szCs w:val="28"/>
        </w:rPr>
        <w:t>考量，</w:t>
      </w:r>
      <w:r w:rsidRPr="00CD2149">
        <w:rPr>
          <w:rFonts w:ascii="標楷體" w:eastAsia="標楷體" w:hAnsi="標楷體" w:hint="eastAsia"/>
          <w:sz w:val="28"/>
          <w:szCs w:val="28"/>
          <w:u w:val="single"/>
        </w:rPr>
        <w:t>倘廠商提出PE模型，則可進一步以該模型諮詢相關專家進行校正試算ICER符合人均GDP下之價格。</w:t>
      </w:r>
    </w:p>
    <w:p w14:paraId="55F8337E" w14:textId="77777777" w:rsidR="0071678F" w:rsidRPr="00CD2149" w:rsidRDefault="0071678F" w:rsidP="0071678F">
      <w:pPr>
        <w:pStyle w:val="a9"/>
        <w:numPr>
          <w:ilvl w:val="0"/>
          <w:numId w:val="8"/>
        </w:numPr>
        <w:spacing w:after="0" w:line="520" w:lineRule="exact"/>
        <w:ind w:left="567" w:hanging="567"/>
        <w:contextualSpacing w:val="0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CD2149">
        <w:rPr>
          <w:rFonts w:ascii="標楷體" w:eastAsia="標楷體" w:hAnsi="標楷體" w:hint="eastAsia"/>
          <w:sz w:val="28"/>
          <w:szCs w:val="28"/>
        </w:rPr>
        <w:t>本</w:t>
      </w:r>
      <w:r w:rsidRPr="00CD2149">
        <w:rPr>
          <w:rFonts w:ascii="標楷體" w:eastAsia="標楷體" w:hAnsi="標楷體"/>
          <w:sz w:val="28"/>
          <w:szCs w:val="28"/>
        </w:rPr>
        <w:t>署所採</w:t>
      </w:r>
      <w:proofErr w:type="gramEnd"/>
      <w:r w:rsidRPr="00CD2149">
        <w:rPr>
          <w:rFonts w:ascii="標楷體" w:eastAsia="標楷體" w:hAnsi="標楷體"/>
          <w:sz w:val="28"/>
          <w:szCs w:val="28"/>
        </w:rPr>
        <w:t>行之各項管理機制，包括給付規定、支付價格及</w:t>
      </w:r>
      <w:r w:rsidRPr="00CD2149">
        <w:rPr>
          <w:rFonts w:ascii="標楷體" w:eastAsia="標楷體" w:hAnsi="標楷體" w:hint="eastAsia"/>
          <w:sz w:val="28"/>
          <w:szCs w:val="28"/>
        </w:rPr>
        <w:t>藥品給付</w:t>
      </w:r>
      <w:r w:rsidRPr="00CD2149">
        <w:rPr>
          <w:rFonts w:ascii="標楷體" w:eastAsia="標楷體" w:hAnsi="標楷體"/>
          <w:sz w:val="28"/>
          <w:szCs w:val="28"/>
        </w:rPr>
        <w:t>協議等，</w:t>
      </w:r>
      <w:proofErr w:type="gramStart"/>
      <w:r w:rsidRPr="00CD2149">
        <w:rPr>
          <w:rFonts w:ascii="標楷體" w:eastAsia="標楷體" w:hAnsi="標楷體"/>
          <w:sz w:val="28"/>
          <w:szCs w:val="28"/>
        </w:rPr>
        <w:t>均係因應</w:t>
      </w:r>
      <w:proofErr w:type="gramEnd"/>
      <w:r w:rsidRPr="00CD2149">
        <w:rPr>
          <w:rFonts w:ascii="標楷體" w:eastAsia="標楷體" w:hAnsi="標楷體"/>
          <w:sz w:val="28"/>
          <w:szCs w:val="28"/>
        </w:rPr>
        <w:t>不同類型之不確定性及管理目的所設計，例如確保合理用藥、管理財務影響及分攤新藥導入風險等，各有其制度功能。</w:t>
      </w:r>
    </w:p>
    <w:p w14:paraId="2DDC46E3" w14:textId="77777777" w:rsidR="0071678F" w:rsidRPr="00CD2149" w:rsidRDefault="0071678F" w:rsidP="0071678F">
      <w:pPr>
        <w:pStyle w:val="a9"/>
        <w:numPr>
          <w:ilvl w:val="0"/>
          <w:numId w:val="8"/>
        </w:numPr>
        <w:spacing w:after="0" w:line="520" w:lineRule="exact"/>
        <w:ind w:left="567" w:hanging="567"/>
        <w:contextualSpacing w:val="0"/>
        <w:jc w:val="both"/>
        <w:rPr>
          <w:rFonts w:ascii="標楷體" w:eastAsia="標楷體" w:hAnsi="標楷體"/>
          <w:sz w:val="28"/>
          <w:szCs w:val="28"/>
        </w:rPr>
      </w:pPr>
      <w:r w:rsidRPr="00CD2149">
        <w:rPr>
          <w:rFonts w:ascii="標楷體" w:eastAsia="標楷體" w:hAnsi="標楷體"/>
          <w:sz w:val="28"/>
          <w:szCs w:val="28"/>
        </w:rPr>
        <w:t>針對部分新藥，如因臨床使用人數、治療期間或市場滲透率等存在較高財務不確定性，且廠商與醫療科技評估對預估藥費規模存在較大差異時，為兼顧病人及早用藥需求及健保財務永續，</w:t>
      </w:r>
      <w:proofErr w:type="gramStart"/>
      <w:r w:rsidRPr="00CD2149">
        <w:rPr>
          <w:rFonts w:ascii="標楷體" w:eastAsia="標楷體" w:hAnsi="標楷體"/>
          <w:sz w:val="28"/>
          <w:szCs w:val="28"/>
        </w:rPr>
        <w:t>本署得依</w:t>
      </w:r>
      <w:proofErr w:type="gramEnd"/>
      <w:r w:rsidRPr="00CD2149">
        <w:rPr>
          <w:rFonts w:ascii="標楷體" w:eastAsia="標楷體" w:hAnsi="標楷體"/>
          <w:sz w:val="28"/>
          <w:szCs w:val="28"/>
        </w:rPr>
        <w:t>個案特性</w:t>
      </w:r>
      <w:proofErr w:type="gramStart"/>
      <w:r w:rsidRPr="00CD2149">
        <w:rPr>
          <w:rFonts w:ascii="標楷體" w:eastAsia="標楷體" w:hAnsi="標楷體"/>
          <w:sz w:val="28"/>
          <w:szCs w:val="28"/>
        </w:rPr>
        <w:t>研</w:t>
      </w:r>
      <w:proofErr w:type="gramEnd"/>
      <w:r w:rsidRPr="00CD2149">
        <w:rPr>
          <w:rFonts w:ascii="標楷體" w:eastAsia="標楷體" w:hAnsi="標楷體"/>
          <w:sz w:val="28"/>
          <w:szCs w:val="28"/>
        </w:rPr>
        <w:t>議</w:t>
      </w:r>
      <w:proofErr w:type="gramStart"/>
      <w:r w:rsidRPr="00CD2149">
        <w:rPr>
          <w:rFonts w:ascii="標楷體" w:eastAsia="標楷體" w:hAnsi="標楷體"/>
          <w:sz w:val="28"/>
          <w:szCs w:val="28"/>
        </w:rPr>
        <w:t>採</w:t>
      </w:r>
      <w:proofErr w:type="gramEnd"/>
      <w:r w:rsidRPr="00CD2149">
        <w:rPr>
          <w:rFonts w:ascii="標楷體" w:eastAsia="標楷體" w:hAnsi="標楷體"/>
          <w:sz w:val="28"/>
          <w:szCs w:val="28"/>
        </w:rPr>
        <w:t>行適當之管理機制，</w:t>
      </w:r>
      <w:r w:rsidRPr="00CD2149">
        <w:rPr>
          <w:rFonts w:ascii="標楷體" w:eastAsia="標楷體" w:hAnsi="標楷體" w:hint="eastAsia"/>
          <w:sz w:val="28"/>
          <w:szCs w:val="28"/>
        </w:rPr>
        <w:t>如設定C</w:t>
      </w:r>
      <w:r w:rsidRPr="00CD2149">
        <w:rPr>
          <w:rFonts w:ascii="標楷體" w:eastAsia="標楷體" w:hAnsi="標楷體"/>
          <w:sz w:val="28"/>
          <w:szCs w:val="28"/>
        </w:rPr>
        <w:t>AP</w:t>
      </w:r>
      <w:r w:rsidRPr="00CD2149">
        <w:rPr>
          <w:rFonts w:ascii="標楷體" w:eastAsia="標楷體" w:hAnsi="標楷體" w:hint="eastAsia"/>
          <w:sz w:val="28"/>
          <w:szCs w:val="28"/>
        </w:rPr>
        <w:t>機制，</w:t>
      </w:r>
      <w:r w:rsidRPr="00CD2149">
        <w:rPr>
          <w:rFonts w:ascii="標楷體" w:eastAsia="標楷體" w:hAnsi="標楷體"/>
          <w:sz w:val="28"/>
          <w:szCs w:val="28"/>
        </w:rPr>
        <w:t>以降低新藥導入初期之財務風險，並兼顧有限健保資源之合理配置。</w:t>
      </w:r>
    </w:p>
    <w:p w14:paraId="76982B55" w14:textId="77777777" w:rsidR="0071678F" w:rsidRPr="00CD2149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b/>
          <w:bCs/>
          <w:color w:val="07162D"/>
          <w:sz w:val="28"/>
          <w:szCs w:val="28"/>
        </w:rPr>
      </w:pPr>
    </w:p>
    <w:p w14:paraId="46C356E9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b/>
          <w:bCs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>現況</w:t>
      </w:r>
      <w:r w:rsidRPr="0085188E">
        <w:rPr>
          <w:rFonts w:ascii="標楷體" w:eastAsia="標楷體" w:hAnsi="標楷體" w:cs="Times New Roman" w:hint="eastAsia"/>
          <w:b/>
          <w:bCs/>
          <w:color w:val="07162D"/>
          <w:sz w:val="28"/>
          <w:szCs w:val="28"/>
          <w:shd w:val="pct15" w:color="auto" w:fill="FFFFFF"/>
        </w:rPr>
        <w:t>四：</w:t>
      </w:r>
      <w:r w:rsidRPr="0085188E">
        <w:rPr>
          <w:rFonts w:ascii="標楷體" w:eastAsia="標楷體" w:hAnsi="標楷體" w:cs="Times New Roman"/>
          <w:b/>
          <w:bCs/>
          <w:color w:val="07162D"/>
          <w:sz w:val="28"/>
          <w:szCs w:val="28"/>
          <w:shd w:val="pct15" w:color="auto" w:fill="FFFFFF"/>
        </w:rPr>
        <w:t xml:space="preserve">MEA每兩年重新簽約，續約條件改變無法預測 </w:t>
      </w:r>
    </w:p>
    <w:p w14:paraId="4EEA0C60" w14:textId="77777777" w:rsidR="0071678F" w:rsidRPr="00CD2149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color w:val="666666"/>
          <w:sz w:val="28"/>
          <w:szCs w:val="28"/>
        </w:rPr>
      </w:pPr>
      <w:r w:rsidRPr="0085188E"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  <w:t>- 未落實法規終止條件 (另收載二種以上同成分或2B新藥)</w:t>
      </w:r>
      <w:r w:rsidRPr="00CD2149">
        <w:rPr>
          <w:rFonts w:ascii="標楷體" w:eastAsia="標楷體" w:hAnsi="標楷體" w:cs="Times New Roman"/>
          <w:color w:val="666666"/>
          <w:sz w:val="28"/>
          <w:szCs w:val="28"/>
        </w:rPr>
        <w:t xml:space="preserve"> </w:t>
      </w:r>
    </w:p>
    <w:p w14:paraId="03E98FA7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  <w:lastRenderedPageBreak/>
        <w:t>- 續約檢討支付價格、限量額度與還款比例</w:t>
      </w:r>
      <w:r w:rsidRPr="0085188E">
        <w:rPr>
          <w:rFonts w:ascii="標楷體" w:eastAsia="標楷體" w:hAnsi="標楷體" w:cs="Times New Roman"/>
          <w:color w:val="666666"/>
          <w:sz w:val="28"/>
          <w:szCs w:val="28"/>
          <w:shd w:val="pct15" w:color="auto" w:fill="FFFFFF"/>
        </w:rPr>
        <w:br/>
        <w:t xml:space="preserve">- 新藥常態性每兩年參考國際最低價，非合理之藥品政策 </w:t>
      </w:r>
    </w:p>
    <w:p w14:paraId="3238A5CD" w14:textId="77777777" w:rsidR="0071678F" w:rsidRPr="0085188E" w:rsidRDefault="0071678F" w:rsidP="0071678F">
      <w:pPr>
        <w:spacing w:line="440" w:lineRule="exact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 w:hint="eastAsia"/>
          <w:sz w:val="28"/>
          <w:szCs w:val="28"/>
          <w:shd w:val="pct15" w:color="auto" w:fill="FFFFFF"/>
        </w:rPr>
        <w:t>建議：</w:t>
      </w: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明確協議管理</w:t>
      </w:r>
    </w:p>
    <w:p w14:paraId="423D82CA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000000" w:themeColor="text1"/>
          <w:sz w:val="28"/>
          <w:szCs w:val="28"/>
          <w:shd w:val="pct15" w:color="auto" w:fill="FFFFFF"/>
        </w:rPr>
        <w:t>協議建立時即應明定檢討、調整、續約及退場條件。</w:t>
      </w:r>
      <w:r w:rsidRPr="0085188E">
        <w:rPr>
          <w:rFonts w:ascii="標楷體" w:eastAsia="標楷體" w:hAnsi="標楷體" w:cs="Times New Roman"/>
          <w:color w:val="07162D"/>
          <w:sz w:val="28"/>
          <w:szCs w:val="28"/>
          <w:shd w:val="pct15" w:color="auto" w:fill="FFFFFF"/>
        </w:rPr>
        <w:t xml:space="preserve">協議內容應包含管理目的、期限、資料需求、檢討時點與變更條件。當管理目的達成或原始風險降低時，應啟動調整或退場機制，避免管理措施無限期延續。 </w:t>
      </w:r>
    </w:p>
    <w:p w14:paraId="4CCF46A4" w14:textId="77777777" w:rsidR="0071678F" w:rsidRPr="0085188E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ind w:leftChars="100" w:left="240"/>
        <w:jc w:val="both"/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r w:rsidRPr="0085188E">
        <w:rPr>
          <w:rFonts w:ascii="標楷體" w:eastAsia="標楷體" w:hAnsi="標楷體" w:cs="Times New Roman"/>
          <w:color w:val="D80228"/>
          <w:sz w:val="28"/>
          <w:szCs w:val="28"/>
          <w:shd w:val="pct15" w:color="auto" w:fill="FFFFFF"/>
        </w:rPr>
        <w:t>明定資料需求、檢討時點與續約原則</w:t>
      </w:r>
      <w:r w:rsidRPr="0085188E">
        <w:rPr>
          <w:rFonts w:ascii="標楷體" w:eastAsia="標楷體" w:hAnsi="標楷體" w:cs="Times New Roman" w:hint="eastAsia"/>
          <w:color w:val="D80228"/>
          <w:sz w:val="28"/>
          <w:szCs w:val="28"/>
          <w:shd w:val="pct15" w:color="auto" w:fill="FFFFFF"/>
        </w:rPr>
        <w:t>，</w:t>
      </w:r>
      <w:r w:rsidRPr="0085188E">
        <w:rPr>
          <w:rFonts w:ascii="標楷體" w:eastAsia="標楷體" w:hAnsi="標楷體" w:cs="Times New Roman"/>
          <w:color w:val="D80228"/>
          <w:sz w:val="28"/>
          <w:szCs w:val="28"/>
          <w:shd w:val="pct15" w:color="auto" w:fill="FFFFFF"/>
        </w:rPr>
        <w:t>依臨床使用與財務影響調整管理強度</w:t>
      </w:r>
      <w:r w:rsidRPr="0085188E">
        <w:rPr>
          <w:rFonts w:ascii="標楷體" w:eastAsia="標楷體" w:hAnsi="標楷體" w:cs="Times New Roman" w:hint="eastAsia"/>
          <w:color w:val="D80228"/>
          <w:sz w:val="28"/>
          <w:szCs w:val="28"/>
          <w:shd w:val="pct15" w:color="auto" w:fill="FFFFFF"/>
        </w:rPr>
        <w:t>，</w:t>
      </w:r>
      <w:r w:rsidRPr="0085188E">
        <w:rPr>
          <w:rFonts w:ascii="標楷體" w:eastAsia="標楷體" w:hAnsi="標楷體" w:cs="Times New Roman"/>
          <w:color w:val="D80228"/>
          <w:sz w:val="28"/>
          <w:szCs w:val="28"/>
          <w:shd w:val="pct15" w:color="auto" w:fill="FFFFFF"/>
        </w:rPr>
        <w:t>建立可遵循之退場機制</w:t>
      </w:r>
      <w:r w:rsidRPr="0085188E">
        <w:rPr>
          <w:rFonts w:ascii="標楷體" w:eastAsia="標楷體" w:hAnsi="標楷體" w:cs="Times New Roman" w:hint="eastAsia"/>
          <w:color w:val="D80228"/>
          <w:sz w:val="28"/>
          <w:szCs w:val="28"/>
          <w:shd w:val="pct15" w:color="auto" w:fill="FFFFFF"/>
        </w:rPr>
        <w:t>。</w:t>
      </w:r>
    </w:p>
    <w:p w14:paraId="46D5D174" w14:textId="77777777" w:rsidR="0071678F" w:rsidRPr="00CD2149" w:rsidRDefault="0071678F" w:rsidP="0071678F">
      <w:pPr>
        <w:pStyle w:val="Web"/>
        <w:shd w:val="clear" w:color="auto" w:fill="FFFFFF"/>
        <w:spacing w:before="0" w:beforeAutospacing="0" w:after="0" w:afterAutospacing="0" w:line="440" w:lineRule="exact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</w:p>
    <w:p w14:paraId="13D11ABF" w14:textId="567DC8DD" w:rsidR="0071678F" w:rsidRPr="0078466A" w:rsidRDefault="0071678F" w:rsidP="0071678F">
      <w:pPr>
        <w:spacing w:line="440" w:lineRule="exact"/>
        <w:jc w:val="both"/>
        <w:rPr>
          <w:rFonts w:ascii="標楷體" w:eastAsia="標楷體" w:hAnsi="標楷體" w:cs="Times New Roman"/>
          <w:b/>
          <w:bCs/>
          <w:sz w:val="28"/>
          <w:szCs w:val="28"/>
          <w:u w:val="single"/>
        </w:rPr>
      </w:pPr>
      <w:proofErr w:type="gramStart"/>
      <w:r w:rsidRPr="0078466A">
        <w:rPr>
          <w:rFonts w:ascii="標楷體" w:eastAsia="標楷體" w:hAnsi="標楷體" w:cs="Times New Roman" w:hint="eastAsia"/>
          <w:b/>
          <w:bCs/>
          <w:sz w:val="28"/>
          <w:szCs w:val="28"/>
          <w:u w:val="single"/>
        </w:rPr>
        <w:t>本署說明</w:t>
      </w:r>
      <w:proofErr w:type="gramEnd"/>
      <w:r w:rsidRPr="0078466A">
        <w:rPr>
          <w:rFonts w:ascii="標楷體" w:eastAsia="標楷體" w:hAnsi="標楷體" w:cs="Times New Roman" w:hint="eastAsia"/>
          <w:b/>
          <w:bCs/>
          <w:sz w:val="28"/>
          <w:szCs w:val="28"/>
          <w:u w:val="single"/>
        </w:rPr>
        <w:t>：</w:t>
      </w:r>
    </w:p>
    <w:p w14:paraId="57FBCF6D" w14:textId="77777777" w:rsidR="0071678F" w:rsidRPr="00CD2149" w:rsidRDefault="0071678F" w:rsidP="0071678F">
      <w:pPr>
        <w:pStyle w:val="Default"/>
        <w:numPr>
          <w:ilvl w:val="0"/>
          <w:numId w:val="7"/>
        </w:numPr>
        <w:snapToGrid w:val="0"/>
        <w:spacing w:line="500" w:lineRule="exact"/>
        <w:ind w:left="567" w:hanging="567"/>
        <w:rPr>
          <w:rFonts w:cs="Times New Roman"/>
          <w:sz w:val="28"/>
          <w:szCs w:val="28"/>
        </w:rPr>
      </w:pPr>
      <w:r w:rsidRPr="00CD2149">
        <w:rPr>
          <w:rFonts w:cs="Times New Roman" w:hint="eastAsia"/>
          <w:sz w:val="28"/>
          <w:szCs w:val="28"/>
        </w:rPr>
        <w:t>依據藥物支付標準</w:t>
      </w:r>
      <w:r w:rsidRPr="00CD2149">
        <w:rPr>
          <w:rFonts w:cs="Times New Roman"/>
          <w:sz w:val="28"/>
          <w:szCs w:val="28"/>
        </w:rPr>
        <w:t>第43條</w:t>
      </w:r>
      <w:r w:rsidRPr="00CD2149">
        <w:rPr>
          <w:rFonts w:cs="Times New Roman" w:hint="eastAsia"/>
          <w:sz w:val="28"/>
          <w:szCs w:val="28"/>
        </w:rPr>
        <w:t>規定之</w:t>
      </w:r>
      <w:r w:rsidRPr="00CD2149">
        <w:rPr>
          <w:rFonts w:cs="Times New Roman"/>
          <w:sz w:val="28"/>
          <w:szCs w:val="28"/>
        </w:rPr>
        <w:t>藥品給付協議之終止條件</w:t>
      </w:r>
      <w:r w:rsidRPr="00CD2149">
        <w:rPr>
          <w:rFonts w:cs="Times New Roman" w:hint="eastAsia"/>
          <w:sz w:val="28"/>
          <w:szCs w:val="28"/>
        </w:rPr>
        <w:t>，</w:t>
      </w:r>
      <w:r w:rsidRPr="00CD2149">
        <w:rPr>
          <w:rFonts w:cs="Times New Roman"/>
          <w:sz w:val="28"/>
          <w:szCs w:val="28"/>
        </w:rPr>
        <w:t>係作為雙方得啟動協議終止檢討之依據，並非符合條件即當然終止協議。協議是否終止、重新簽訂給付協議，或後續支付價格及給付規定如何調整，仍須依個案情形，綜合考量藥品臨床價值、使用情形、財務影響等因素，經雙方協商並依相關程序辦理。</w:t>
      </w:r>
    </w:p>
    <w:p w14:paraId="725171B8" w14:textId="77777777" w:rsidR="0071678F" w:rsidRPr="00CD2149" w:rsidRDefault="0071678F" w:rsidP="0071678F">
      <w:pPr>
        <w:pStyle w:val="Default"/>
        <w:numPr>
          <w:ilvl w:val="0"/>
          <w:numId w:val="7"/>
        </w:numPr>
        <w:snapToGrid w:val="0"/>
        <w:spacing w:line="500" w:lineRule="exact"/>
        <w:ind w:left="567" w:hanging="567"/>
        <w:rPr>
          <w:rFonts w:cs="Times New Roman"/>
          <w:sz w:val="28"/>
          <w:szCs w:val="28"/>
        </w:rPr>
      </w:pPr>
      <w:r w:rsidRPr="00CD2149">
        <w:rPr>
          <w:rFonts w:cs="Times New Roman"/>
          <w:sz w:val="28"/>
          <w:szCs w:val="28"/>
        </w:rPr>
        <w:t>有關給付協議屆期之檢討機制，</w:t>
      </w:r>
      <w:proofErr w:type="gramStart"/>
      <w:r w:rsidRPr="00CD2149">
        <w:rPr>
          <w:rFonts w:cs="Times New Roman"/>
          <w:sz w:val="28"/>
          <w:szCs w:val="28"/>
        </w:rPr>
        <w:t>本署原則</w:t>
      </w:r>
      <w:proofErr w:type="gramEnd"/>
      <w:r w:rsidRPr="00CD2149">
        <w:rPr>
          <w:rFonts w:cs="Times New Roman"/>
          <w:sz w:val="28"/>
          <w:szCs w:val="28"/>
        </w:rPr>
        <w:t>於協議屆期前6</w:t>
      </w:r>
      <w:r w:rsidRPr="00CD2149">
        <w:rPr>
          <w:rFonts w:cs="Times New Roman" w:hint="eastAsia"/>
          <w:sz w:val="28"/>
          <w:szCs w:val="28"/>
        </w:rPr>
        <w:t>～</w:t>
      </w:r>
      <w:r w:rsidRPr="00CD2149">
        <w:rPr>
          <w:rFonts w:cs="Times New Roman"/>
          <w:sz w:val="28"/>
          <w:szCs w:val="28"/>
        </w:rPr>
        <w:t>9個月啟動檢討作業，</w:t>
      </w:r>
      <w:r w:rsidRPr="00CD2149">
        <w:rPr>
          <w:rFonts w:cs="Times New Roman" w:hint="eastAsia"/>
          <w:sz w:val="28"/>
          <w:szCs w:val="28"/>
        </w:rPr>
        <w:t>參考議約時之財務預估及</w:t>
      </w:r>
      <w:r w:rsidRPr="00CD2149">
        <w:rPr>
          <w:rFonts w:cs="Times New Roman"/>
          <w:sz w:val="28"/>
          <w:szCs w:val="28"/>
        </w:rPr>
        <w:t>使用情形</w:t>
      </w:r>
      <w:r w:rsidRPr="00CD2149">
        <w:rPr>
          <w:rFonts w:cs="Times New Roman" w:hint="eastAsia"/>
          <w:sz w:val="28"/>
          <w:szCs w:val="28"/>
        </w:rPr>
        <w:t>，並綜合考量檢討時健保於該適應症同治療地位藥品給付情形及收</w:t>
      </w:r>
      <w:proofErr w:type="gramStart"/>
      <w:r w:rsidRPr="00CD2149">
        <w:rPr>
          <w:rFonts w:cs="Times New Roman" w:hint="eastAsia"/>
          <w:sz w:val="28"/>
          <w:szCs w:val="28"/>
        </w:rPr>
        <w:t>載時核價</w:t>
      </w:r>
      <w:proofErr w:type="gramEnd"/>
      <w:r w:rsidRPr="00CD2149">
        <w:rPr>
          <w:rFonts w:cs="Times New Roman" w:hint="eastAsia"/>
          <w:sz w:val="28"/>
          <w:szCs w:val="28"/>
        </w:rPr>
        <w:t>方式(含十國藥價)等，依照藥物支付標準第 43 條</w:t>
      </w:r>
      <w:proofErr w:type="gramStart"/>
      <w:r w:rsidRPr="00CD2149">
        <w:rPr>
          <w:rFonts w:cs="Times New Roman" w:hint="eastAsia"/>
          <w:sz w:val="28"/>
          <w:szCs w:val="28"/>
        </w:rPr>
        <w:t>新藥核價</w:t>
      </w:r>
      <w:proofErr w:type="gramEnd"/>
      <w:r w:rsidRPr="00CD2149">
        <w:rPr>
          <w:rFonts w:cs="Times New Roman" w:hint="eastAsia"/>
          <w:sz w:val="28"/>
          <w:szCs w:val="28"/>
        </w:rPr>
        <w:t>方式擇</w:t>
      </w:r>
      <w:proofErr w:type="gramStart"/>
      <w:r w:rsidRPr="00CD2149">
        <w:rPr>
          <w:rFonts w:cs="Times New Roman" w:hint="eastAsia"/>
          <w:sz w:val="28"/>
          <w:szCs w:val="28"/>
        </w:rPr>
        <w:t>一</w:t>
      </w:r>
      <w:proofErr w:type="gramEnd"/>
      <w:r w:rsidRPr="00CD2149">
        <w:rPr>
          <w:rFonts w:cs="Times New Roman" w:hint="eastAsia"/>
          <w:sz w:val="28"/>
          <w:szCs w:val="28"/>
        </w:rPr>
        <w:t>調整支付價格或一定比率調降支付價格，</w:t>
      </w:r>
      <w:proofErr w:type="gramStart"/>
      <w:r w:rsidRPr="00CD2149">
        <w:rPr>
          <w:rFonts w:cs="Times New Roman" w:hint="eastAsia"/>
          <w:sz w:val="28"/>
          <w:szCs w:val="28"/>
        </w:rPr>
        <w:t>倘</w:t>
      </w:r>
      <w:r w:rsidRPr="00CD2149">
        <w:rPr>
          <w:rFonts w:cs="Times New Roman"/>
          <w:sz w:val="28"/>
          <w:szCs w:val="28"/>
        </w:rPr>
        <w:t>於協議</w:t>
      </w:r>
      <w:proofErr w:type="gramEnd"/>
      <w:r w:rsidRPr="00CD2149">
        <w:rPr>
          <w:rFonts w:cs="Times New Roman"/>
          <w:sz w:val="28"/>
          <w:szCs w:val="28"/>
        </w:rPr>
        <w:t>屆期時須繳交如療效等</w:t>
      </w:r>
      <w:r w:rsidRPr="00CD2149">
        <w:rPr>
          <w:rFonts w:cs="Times New Roman" w:hint="eastAsia"/>
          <w:sz w:val="28"/>
          <w:szCs w:val="28"/>
        </w:rPr>
        <w:t>評估</w:t>
      </w:r>
      <w:r w:rsidRPr="00CD2149">
        <w:rPr>
          <w:rFonts w:cs="Times New Roman"/>
          <w:sz w:val="28"/>
          <w:szCs w:val="28"/>
        </w:rPr>
        <w:t>資料，相關資料</w:t>
      </w:r>
      <w:proofErr w:type="gramStart"/>
      <w:r w:rsidRPr="00CD2149">
        <w:rPr>
          <w:rFonts w:cs="Times New Roman"/>
          <w:sz w:val="28"/>
          <w:szCs w:val="28"/>
        </w:rPr>
        <w:t>提交均</w:t>
      </w:r>
      <w:r w:rsidRPr="00CD2149">
        <w:rPr>
          <w:rFonts w:cs="Times New Roman" w:hint="eastAsia"/>
          <w:sz w:val="28"/>
          <w:szCs w:val="28"/>
        </w:rPr>
        <w:t>會</w:t>
      </w:r>
      <w:r w:rsidRPr="00CD2149">
        <w:rPr>
          <w:rFonts w:cs="Times New Roman"/>
          <w:sz w:val="28"/>
          <w:szCs w:val="28"/>
        </w:rPr>
        <w:t>納入</w:t>
      </w:r>
      <w:proofErr w:type="gramEnd"/>
      <w:r w:rsidRPr="00CD2149">
        <w:rPr>
          <w:rFonts w:cs="Times New Roman"/>
          <w:sz w:val="28"/>
          <w:szCs w:val="28"/>
        </w:rPr>
        <w:t>給付協議內容，作為協議</w:t>
      </w:r>
      <w:r w:rsidRPr="00CD2149">
        <w:rPr>
          <w:rFonts w:cs="Times New Roman" w:hint="eastAsia"/>
          <w:sz w:val="28"/>
          <w:szCs w:val="28"/>
        </w:rPr>
        <w:t>屆期評估</w:t>
      </w:r>
      <w:r w:rsidRPr="00CD2149">
        <w:rPr>
          <w:rFonts w:cs="Times New Roman"/>
          <w:sz w:val="28"/>
          <w:szCs w:val="28"/>
        </w:rPr>
        <w:t>之一部分。</w:t>
      </w:r>
    </w:p>
    <w:p w14:paraId="398499FA" w14:textId="77777777" w:rsidR="0071678F" w:rsidRPr="00CD2149" w:rsidRDefault="0071678F" w:rsidP="0071678F">
      <w:pPr>
        <w:pStyle w:val="Default"/>
        <w:numPr>
          <w:ilvl w:val="0"/>
          <w:numId w:val="7"/>
        </w:numPr>
        <w:snapToGrid w:val="0"/>
        <w:spacing w:line="500" w:lineRule="exact"/>
        <w:ind w:left="567" w:hanging="567"/>
        <w:rPr>
          <w:rFonts w:cs="Times New Roman"/>
          <w:sz w:val="28"/>
          <w:szCs w:val="28"/>
        </w:rPr>
      </w:pPr>
      <w:r w:rsidRPr="00CD2149">
        <w:rPr>
          <w:rFonts w:cs="Times New Roman" w:hint="eastAsia"/>
          <w:sz w:val="28"/>
          <w:szCs w:val="28"/>
        </w:rPr>
        <w:t>協議檢討調整支付價後，原限量額度(價Ax量B)因價格調整，故</w:t>
      </w:r>
      <w:proofErr w:type="gramStart"/>
      <w:r w:rsidRPr="00CD2149">
        <w:rPr>
          <w:rFonts w:cs="Times New Roman" w:hint="eastAsia"/>
          <w:sz w:val="28"/>
          <w:szCs w:val="28"/>
        </w:rPr>
        <w:t>採</w:t>
      </w:r>
      <w:proofErr w:type="gramEnd"/>
      <w:r w:rsidRPr="00CD2149">
        <w:rPr>
          <w:rFonts w:cs="Times New Roman" w:hint="eastAsia"/>
          <w:sz w:val="28"/>
          <w:szCs w:val="28"/>
        </w:rPr>
        <w:t>相同邏輯重新計算新限量額度(價</w:t>
      </w:r>
      <w:proofErr w:type="spellStart"/>
      <w:r w:rsidRPr="00CD2149">
        <w:rPr>
          <w:rFonts w:cs="Times New Roman" w:hint="eastAsia"/>
          <w:sz w:val="28"/>
          <w:szCs w:val="28"/>
        </w:rPr>
        <w:t>Cx</w:t>
      </w:r>
      <w:proofErr w:type="spellEnd"/>
      <w:r w:rsidRPr="00CD2149">
        <w:rPr>
          <w:rFonts w:cs="Times New Roman" w:hint="eastAsia"/>
          <w:sz w:val="28"/>
          <w:szCs w:val="28"/>
        </w:rPr>
        <w:t>量B)。另申報未達原預估限量額度，依實際藥費調整限量額度，係因原預估藥費是作為收載時財務影響評估之參考，並非保留予特定藥品之預算，實</w:t>
      </w:r>
      <w:r w:rsidRPr="00CD2149">
        <w:rPr>
          <w:rFonts w:cs="Times New Roman" w:hint="eastAsia"/>
          <w:sz w:val="28"/>
          <w:szCs w:val="28"/>
        </w:rPr>
        <w:lastRenderedPageBreak/>
        <w:t>際執行情形應回歸健保整體資源配置及管理，重新議約時，</w:t>
      </w:r>
      <w:proofErr w:type="gramStart"/>
      <w:r w:rsidRPr="00CD2149">
        <w:rPr>
          <w:rFonts w:cs="Times New Roman" w:hint="eastAsia"/>
          <w:sz w:val="28"/>
          <w:szCs w:val="28"/>
        </w:rPr>
        <w:t>本署仍</w:t>
      </w:r>
      <w:proofErr w:type="gramEnd"/>
      <w:r w:rsidRPr="00CD2149">
        <w:rPr>
          <w:rFonts w:cs="Times New Roman" w:hint="eastAsia"/>
          <w:sz w:val="28"/>
          <w:szCs w:val="28"/>
        </w:rPr>
        <w:t>為參考疾病發生率、藥費成長率等給於合理藥費限量額度。</w:t>
      </w:r>
    </w:p>
    <w:p w14:paraId="2F13E8A8" w14:textId="77777777" w:rsidR="0071678F" w:rsidRPr="00CD2149" w:rsidRDefault="0071678F" w:rsidP="0071678F">
      <w:pPr>
        <w:pStyle w:val="Default"/>
        <w:snapToGrid w:val="0"/>
        <w:spacing w:line="500" w:lineRule="exact"/>
        <w:ind w:left="567"/>
        <w:rPr>
          <w:rFonts w:cs="Times New Roman"/>
          <w:sz w:val="28"/>
          <w:szCs w:val="28"/>
        </w:rPr>
      </w:pPr>
      <w:r w:rsidRPr="00CD2149">
        <w:rPr>
          <w:rFonts w:cs="Times New Roman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D6275" wp14:editId="537343C0">
                <wp:simplePos x="0" y="0"/>
                <wp:positionH relativeFrom="column">
                  <wp:posOffset>-266700</wp:posOffset>
                </wp:positionH>
                <wp:positionV relativeFrom="paragraph">
                  <wp:posOffset>266700</wp:posOffset>
                </wp:positionV>
                <wp:extent cx="5822899" cy="5562600"/>
                <wp:effectExtent l="0" t="0" r="26035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2899" cy="5562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D643D" id="矩形 2" o:spid="_x0000_s1026" style="position:absolute;margin-left:-21pt;margin-top:21pt;width:458.5pt;height:43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" filled="f" strokecolor="#030e13 [484]" strokeweight="1pt"/>
            </w:pict>
          </mc:Fallback>
        </mc:AlternateContent>
      </w:r>
    </w:p>
    <w:p w14:paraId="29D150E5" w14:textId="23DF6841" w:rsidR="0071678F" w:rsidRPr="00CD2149" w:rsidRDefault="0071678F" w:rsidP="00E96E49">
      <w:pPr>
        <w:spacing w:line="440" w:lineRule="exact"/>
        <w:jc w:val="both"/>
        <w:rPr>
          <w:rFonts w:ascii="標楷體" w:eastAsia="標楷體" w:hAnsi="標楷體" w:cs="Times New Roman"/>
          <w:b/>
          <w:bCs/>
          <w:color w:val="07162D"/>
          <w:kern w:val="0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b/>
          <w:bCs/>
          <w:color w:val="07162D"/>
          <w:kern w:val="0"/>
          <w:sz w:val="28"/>
          <w:szCs w:val="28"/>
        </w:rPr>
        <w:t>※藥物支付標準第 43 條</w:t>
      </w:r>
    </w:p>
    <w:p w14:paraId="5E192F31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48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藥品給付協議之終止條件：</w:t>
      </w:r>
    </w:p>
    <w:p w14:paraId="07344804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48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一、價量協議應符合下列條件之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一</w:t>
      </w:r>
      <w:proofErr w:type="gramEnd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：</w:t>
      </w:r>
    </w:p>
    <w:p w14:paraId="7BBB736D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（一）協議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期限屆至</w:t>
      </w:r>
      <w:proofErr w:type="gramEnd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。</w:t>
      </w:r>
    </w:p>
    <w:p w14:paraId="614822B8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（二）取消健保給付。</w:t>
      </w:r>
    </w:p>
    <w:p w14:paraId="2768CC14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（三）協議期限內，本標準已另收載二種以上之同成分不同廠牌藥品。</w:t>
      </w:r>
    </w:p>
    <w:p w14:paraId="7A69EFEE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200" w:left="48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二、其他協議應符合下列條件之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一</w:t>
      </w:r>
      <w:proofErr w:type="gramEnd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：</w:t>
      </w:r>
    </w:p>
    <w:p w14:paraId="4D268767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（一）協議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期限屆至</w:t>
      </w:r>
      <w:proofErr w:type="gramEnd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。</w:t>
      </w:r>
    </w:p>
    <w:p w14:paraId="5A2563B1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（二）取消健保給付。</w:t>
      </w:r>
    </w:p>
    <w:p w14:paraId="676E5F01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（三）協議期限內，本標準已另收載二種以上同成分不同廠牌藥品或二種以上第 2B 類新藥。</w:t>
      </w:r>
    </w:p>
    <w:p w14:paraId="103FA42D" w14:textId="77777777" w:rsidR="0071678F" w:rsidRPr="00CD2149" w:rsidRDefault="0071678F" w:rsidP="00E96E49">
      <w:pPr>
        <w:pStyle w:val="Web"/>
        <w:shd w:val="clear" w:color="auto" w:fill="FFFFFF"/>
        <w:tabs>
          <w:tab w:val="left" w:pos="1276"/>
        </w:tabs>
        <w:spacing w:before="0" w:beforeAutospacing="0" w:after="0" w:afterAutospacing="0" w:line="440" w:lineRule="exact"/>
        <w:ind w:leftChars="400" w:left="1660" w:hangingChars="250" w:hanging="700"/>
        <w:jc w:val="both"/>
        <w:rPr>
          <w:rFonts w:ascii="標楷體" w:eastAsia="標楷體" w:hAnsi="標楷體" w:cs="Times New Roman"/>
          <w:color w:val="07162D"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（四）協議期限內，廠商或保險人提出終止協議之建議，經藥物擬訂會議同意者。</w:t>
      </w:r>
    </w:p>
    <w:p w14:paraId="4E6F52D5" w14:textId="271D8AFD" w:rsidR="0071678F" w:rsidRPr="00513209" w:rsidRDefault="0071678F" w:rsidP="00E96E49">
      <w:pPr>
        <w:spacing w:line="440" w:lineRule="exact"/>
        <w:ind w:leftChars="200" w:left="480"/>
        <w:rPr>
          <w:rFonts w:ascii="標楷體" w:eastAsia="標楷體" w:hAnsi="標楷體"/>
          <w:b/>
          <w:bCs/>
          <w:sz w:val="28"/>
          <w:szCs w:val="28"/>
        </w:rPr>
      </w:pPr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前項第二款其他協議終止時，應重新檢討藥品支付價格及其給付規定，必要時得重新簽約。該協議藥品支付價格之檢討方式，依本標準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新藥核價</w:t>
      </w:r>
      <w:proofErr w:type="gramEnd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方式擇</w:t>
      </w:r>
      <w:proofErr w:type="gramStart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一</w:t>
      </w:r>
      <w:proofErr w:type="gramEnd"/>
      <w:r w:rsidRPr="00CD2149">
        <w:rPr>
          <w:rFonts w:ascii="標楷體" w:eastAsia="標楷體" w:hAnsi="標楷體" w:cs="Times New Roman" w:hint="eastAsia"/>
          <w:color w:val="07162D"/>
          <w:sz w:val="28"/>
          <w:szCs w:val="28"/>
        </w:rPr>
        <w:t>調整支付價格，或一定比率調降支付價格，其他同成分藥品之支付價</w:t>
      </w:r>
      <w:r>
        <w:rPr>
          <w:rFonts w:ascii="標楷體" w:eastAsia="標楷體" w:hAnsi="標楷體" w:cs="Times New Roman" w:hint="eastAsia"/>
          <w:color w:val="07162D"/>
          <w:sz w:val="28"/>
          <w:szCs w:val="28"/>
        </w:rPr>
        <w:t>。</w:t>
      </w:r>
    </w:p>
    <w:p w14:paraId="72EE6B7B" w14:textId="77777777" w:rsidR="0071678F" w:rsidRDefault="0071678F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73849BA6" w14:textId="55748A67" w:rsidR="006B69C0" w:rsidRPr="0071678F" w:rsidRDefault="0071678F" w:rsidP="00513209">
      <w:pPr>
        <w:spacing w:line="440" w:lineRule="exact"/>
        <w:rPr>
          <w:rFonts w:ascii="標楷體" w:eastAsia="標楷體" w:hAnsi="標楷體"/>
          <w:b/>
          <w:bCs/>
          <w:sz w:val="32"/>
          <w:szCs w:val="32"/>
        </w:rPr>
      </w:pPr>
      <w:r w:rsidRPr="0071678F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綜合</w:t>
      </w:r>
      <w:proofErr w:type="gramStart"/>
      <w:r w:rsidRPr="0071678F">
        <w:rPr>
          <w:rFonts w:ascii="標楷體" w:eastAsia="標楷體" w:hAnsi="標楷體" w:hint="eastAsia"/>
          <w:b/>
          <w:bCs/>
          <w:sz w:val="32"/>
          <w:szCs w:val="32"/>
        </w:rPr>
        <w:t>討論</w:t>
      </w:r>
      <w:r w:rsidR="00500D7D" w:rsidRPr="0071678F">
        <w:rPr>
          <w:rFonts w:ascii="標楷體" w:eastAsia="標楷體" w:hAnsi="標楷體" w:hint="eastAsia"/>
          <w:b/>
          <w:bCs/>
          <w:sz w:val="32"/>
          <w:szCs w:val="32"/>
        </w:rPr>
        <w:t>談參資料</w:t>
      </w:r>
      <w:proofErr w:type="gramEnd"/>
      <w:r w:rsidR="00500D7D" w:rsidRPr="0071678F">
        <w:rPr>
          <w:rFonts w:ascii="標楷體" w:eastAsia="標楷體" w:hAnsi="標楷體" w:hint="eastAsia"/>
          <w:b/>
          <w:bCs/>
          <w:sz w:val="32"/>
          <w:szCs w:val="32"/>
        </w:rPr>
        <w:t>:</w:t>
      </w:r>
    </w:p>
    <w:p w14:paraId="0403BC8A" w14:textId="77777777" w:rsidR="00E01E22" w:rsidRPr="00513209" w:rsidRDefault="00E01E22" w:rsidP="00513209">
      <w:pPr>
        <w:numPr>
          <w:ilvl w:val="0"/>
          <w:numId w:val="4"/>
        </w:numPr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 w:rsidRPr="00513209">
        <w:rPr>
          <w:rFonts w:ascii="標楷體" w:eastAsia="標楷體" w:hAnsi="標楷體" w:hint="eastAsia"/>
          <w:b/>
          <w:bCs/>
          <w:sz w:val="28"/>
          <w:szCs w:val="28"/>
        </w:rPr>
        <w:t>藥品給付協議訂定規則：</w:t>
      </w:r>
    </w:p>
    <w:p w14:paraId="1C3A47EB" w14:textId="26B7F75D" w:rsidR="00DC36E9" w:rsidRPr="00513209" w:rsidRDefault="00ED0411" w:rsidP="00513209">
      <w:pPr>
        <w:pStyle w:val="a9"/>
        <w:numPr>
          <w:ilvl w:val="0"/>
          <w:numId w:val="5"/>
        </w:numPr>
        <w:spacing w:line="440" w:lineRule="exact"/>
        <w:rPr>
          <w:rFonts w:ascii="標楷體" w:eastAsia="標楷體" w:hAnsi="標楷體"/>
          <w:sz w:val="28"/>
          <w:szCs w:val="28"/>
        </w:rPr>
      </w:pPr>
      <w:r w:rsidRPr="00513209">
        <w:rPr>
          <w:rFonts w:ascii="標楷體" w:eastAsia="標楷體" w:hAnsi="標楷體"/>
          <w:sz w:val="28"/>
          <w:szCs w:val="28"/>
        </w:rPr>
        <w:t>依《</w:t>
      </w:r>
      <w:r w:rsidRPr="00513209">
        <w:rPr>
          <w:rFonts w:ascii="標楷體" w:eastAsia="標楷體" w:hAnsi="標楷體" w:hint="eastAsia"/>
          <w:sz w:val="28"/>
          <w:szCs w:val="28"/>
        </w:rPr>
        <w:t>全民健康保險</w:t>
      </w:r>
      <w:r w:rsidRPr="00513209">
        <w:rPr>
          <w:rFonts w:ascii="標楷體" w:eastAsia="標楷體" w:hAnsi="標楷體"/>
          <w:sz w:val="28"/>
          <w:szCs w:val="28"/>
        </w:rPr>
        <w:t>藥物給付項目及支付標準》第41條規定，藥品給付協議係健保署於辦理藥品收載時，得視個案情形</w:t>
      </w:r>
      <w:proofErr w:type="gramStart"/>
      <w:r w:rsidRPr="00513209">
        <w:rPr>
          <w:rFonts w:ascii="標楷體" w:eastAsia="標楷體" w:hAnsi="標楷體"/>
          <w:sz w:val="28"/>
          <w:szCs w:val="28"/>
        </w:rPr>
        <w:t>採</w:t>
      </w:r>
      <w:proofErr w:type="gramEnd"/>
      <w:r w:rsidRPr="00513209">
        <w:rPr>
          <w:rFonts w:ascii="標楷體" w:eastAsia="標楷體" w:hAnsi="標楷體"/>
          <w:sz w:val="28"/>
          <w:szCs w:val="28"/>
        </w:rPr>
        <w:t>行之支付管理機制</w:t>
      </w:r>
      <w:r w:rsidR="00DC36E9" w:rsidRPr="00513209">
        <w:rPr>
          <w:rFonts w:ascii="標楷體" w:eastAsia="標楷體" w:hAnsi="標楷體" w:hint="eastAsia"/>
          <w:sz w:val="28"/>
          <w:szCs w:val="28"/>
        </w:rPr>
        <w:t>，</w:t>
      </w:r>
      <w:r w:rsidR="00DC36E9" w:rsidRPr="00513209">
        <w:rPr>
          <w:rFonts w:ascii="標楷體" w:eastAsia="標楷體" w:hAnsi="標楷體"/>
          <w:sz w:val="28"/>
          <w:szCs w:val="28"/>
        </w:rPr>
        <w:t>透過給付協議可在有限新藥預算下兼顧病人及時用藥需求與</w:t>
      </w:r>
      <w:r w:rsidR="00DC36E9" w:rsidRPr="00513209">
        <w:rPr>
          <w:rFonts w:ascii="標楷體" w:eastAsia="標楷體" w:hAnsi="標楷體" w:hint="eastAsia"/>
          <w:sz w:val="28"/>
          <w:szCs w:val="28"/>
        </w:rPr>
        <w:t>健保財務</w:t>
      </w:r>
      <w:r w:rsidR="00DC36E9" w:rsidRPr="00513209">
        <w:rPr>
          <w:rFonts w:ascii="標楷體" w:eastAsia="標楷體" w:hAnsi="標楷體"/>
          <w:sz w:val="28"/>
          <w:szCs w:val="28"/>
        </w:rPr>
        <w:t>永續</w:t>
      </w:r>
      <w:r w:rsidRPr="00513209">
        <w:rPr>
          <w:rFonts w:ascii="標楷體" w:eastAsia="標楷體" w:hAnsi="標楷體"/>
          <w:sz w:val="28"/>
          <w:szCs w:val="28"/>
        </w:rPr>
        <w:t>。</w:t>
      </w:r>
    </w:p>
    <w:p w14:paraId="1E64AF8F" w14:textId="1C7DABF3" w:rsidR="00E01E22" w:rsidRPr="00513209" w:rsidRDefault="00E01E22" w:rsidP="00513209">
      <w:pPr>
        <w:numPr>
          <w:ilvl w:val="0"/>
          <w:numId w:val="5"/>
        </w:numPr>
        <w:spacing w:line="440" w:lineRule="exact"/>
        <w:rPr>
          <w:rFonts w:ascii="標楷體" w:eastAsia="標楷體" w:hAnsi="標楷體"/>
          <w:sz w:val="28"/>
          <w:szCs w:val="28"/>
        </w:rPr>
      </w:pPr>
      <w:r w:rsidRPr="00513209">
        <w:rPr>
          <w:rFonts w:ascii="標楷體" w:eastAsia="標楷體" w:hAnsi="標楷體" w:hint="eastAsia"/>
          <w:sz w:val="28"/>
          <w:szCs w:val="28"/>
        </w:rPr>
        <w:t>藥品給付協議之限量額度、返還比例之設定，係綜合考量藥品臨床療效、適應症族群規模、國際實證資料(如3大HTA組織建議)、臨床治療需求及健保財務影響等因素，並參考廠商提供之資料及醫藥科技評估報告進行整體評估，於兼顧公平原則與健保財務永續下，與廠商進行協商。</w:t>
      </w:r>
    </w:p>
    <w:p w14:paraId="1A427CDB" w14:textId="77777777" w:rsidR="00DC36E9" w:rsidRPr="00513209" w:rsidRDefault="00E01E22" w:rsidP="00513209">
      <w:pPr>
        <w:pStyle w:val="a9"/>
        <w:numPr>
          <w:ilvl w:val="0"/>
          <w:numId w:val="5"/>
        </w:numPr>
        <w:spacing w:line="440" w:lineRule="exact"/>
        <w:rPr>
          <w:rFonts w:ascii="標楷體" w:eastAsia="標楷體" w:hAnsi="標楷體"/>
          <w:sz w:val="28"/>
          <w:szCs w:val="28"/>
        </w:rPr>
      </w:pPr>
      <w:r w:rsidRPr="00513209">
        <w:rPr>
          <w:rFonts w:ascii="標楷體" w:eastAsia="標楷體" w:hAnsi="標楷體" w:hint="eastAsia"/>
          <w:sz w:val="28"/>
          <w:szCs w:val="28"/>
        </w:rPr>
        <w:t>藥品給付協議係因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新藥於給付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初期可能存在療效、財務或使用量等不確定性，而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採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行之管理措施。協議期滿後，健保署將依真實世界使用資料(如療效、使用量)與財務影響等進行整體檢討；如相關不確定性已降低，原則上於雙方合意下提出終止協議，惟若仍涉及高財務風險、特殊價格保護需求或其他管理必要性，亦將視個案情形續行協議。</w:t>
      </w:r>
    </w:p>
    <w:p w14:paraId="614D4608" w14:textId="04EA0C87" w:rsidR="00F42488" w:rsidRPr="00513209" w:rsidRDefault="00DC36E9" w:rsidP="00513209">
      <w:pPr>
        <w:pStyle w:val="a9"/>
        <w:numPr>
          <w:ilvl w:val="0"/>
          <w:numId w:val="5"/>
        </w:numPr>
        <w:spacing w:line="440" w:lineRule="exact"/>
        <w:rPr>
          <w:rFonts w:ascii="標楷體" w:eastAsia="標楷體" w:hAnsi="標楷體"/>
          <w:sz w:val="28"/>
          <w:szCs w:val="28"/>
        </w:rPr>
      </w:pPr>
      <w:r w:rsidRPr="00513209">
        <w:rPr>
          <w:rFonts w:ascii="標楷體" w:eastAsia="標楷體" w:hAnsi="標楷體" w:hint="eastAsia"/>
          <w:sz w:val="28"/>
          <w:szCs w:val="28"/>
        </w:rPr>
        <w:t>另</w:t>
      </w:r>
      <w:r w:rsidRPr="00513209">
        <w:rPr>
          <w:rFonts w:ascii="標楷體" w:eastAsia="標楷體" w:hAnsi="標楷體"/>
          <w:sz w:val="28"/>
          <w:szCs w:val="28"/>
        </w:rPr>
        <w:t>《</w:t>
      </w:r>
      <w:r w:rsidRPr="00513209">
        <w:rPr>
          <w:rFonts w:ascii="標楷體" w:eastAsia="標楷體" w:hAnsi="標楷體" w:hint="eastAsia"/>
          <w:sz w:val="28"/>
          <w:szCs w:val="28"/>
        </w:rPr>
        <w:t>全民健康保險</w:t>
      </w:r>
      <w:r w:rsidRPr="00513209">
        <w:rPr>
          <w:rFonts w:ascii="標楷體" w:eastAsia="標楷體" w:hAnsi="標楷體"/>
          <w:sz w:val="28"/>
          <w:szCs w:val="28"/>
        </w:rPr>
        <w:t>藥物給付項目及支付標準》第4</w:t>
      </w:r>
      <w:r w:rsidRPr="00513209">
        <w:rPr>
          <w:rFonts w:ascii="標楷體" w:eastAsia="標楷體" w:hAnsi="標楷體" w:hint="eastAsia"/>
          <w:sz w:val="28"/>
          <w:szCs w:val="28"/>
        </w:rPr>
        <w:t>3條</w:t>
      </w:r>
      <w:r w:rsidRPr="00513209">
        <w:rPr>
          <w:rFonts w:ascii="標楷體" w:eastAsia="標楷體" w:hAnsi="標楷體"/>
          <w:sz w:val="28"/>
          <w:szCs w:val="28"/>
        </w:rPr>
        <w:t>，</w:t>
      </w:r>
      <w:r w:rsidRPr="00513209">
        <w:rPr>
          <w:rFonts w:ascii="標楷體" w:eastAsia="標楷體" w:hAnsi="標楷體" w:hint="eastAsia"/>
          <w:sz w:val="28"/>
          <w:szCs w:val="28"/>
        </w:rPr>
        <w:t>明訂給付協議之終止條件。</w:t>
      </w:r>
    </w:p>
    <w:p w14:paraId="738947CE" w14:textId="1717291A" w:rsidR="00F42488" w:rsidRPr="00513209" w:rsidRDefault="00F42488" w:rsidP="00513209">
      <w:pPr>
        <w:numPr>
          <w:ilvl w:val="0"/>
          <w:numId w:val="4"/>
        </w:numPr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 w:rsidRPr="00513209">
        <w:rPr>
          <w:rFonts w:ascii="標楷體" w:eastAsia="標楷體" w:hAnsi="標楷體" w:hint="eastAsia"/>
          <w:b/>
          <w:bCs/>
          <w:sz w:val="28"/>
          <w:szCs w:val="28"/>
        </w:rPr>
        <w:t>積極爭取新藥預算:</w:t>
      </w:r>
    </w:p>
    <w:p w14:paraId="3AE4D9C2" w14:textId="6FCB7AB3" w:rsidR="00F42488" w:rsidRPr="00513209" w:rsidRDefault="00F42488" w:rsidP="00513209">
      <w:pPr>
        <w:spacing w:line="440" w:lineRule="exact"/>
        <w:ind w:left="338"/>
        <w:rPr>
          <w:rFonts w:ascii="標楷體" w:eastAsia="標楷體" w:hAnsi="標楷體"/>
          <w:sz w:val="28"/>
          <w:szCs w:val="28"/>
        </w:rPr>
      </w:pPr>
      <w:r w:rsidRPr="00513209">
        <w:rPr>
          <w:rFonts w:ascii="標楷體" w:eastAsia="標楷體" w:hAnsi="標楷體"/>
          <w:sz w:val="28"/>
          <w:szCs w:val="28"/>
        </w:rPr>
        <w:t>113</w:t>
      </w:r>
      <w:r w:rsidRPr="00513209">
        <w:rPr>
          <w:rFonts w:ascii="標楷體" w:eastAsia="標楷體" w:hAnsi="標楷體" w:hint="eastAsia"/>
          <w:sz w:val="28"/>
          <w:szCs w:val="28"/>
        </w:rPr>
        <w:t>年健保總額藥品新醫療科技、給付規定改變及暫時性支付專款預算編列共計</w:t>
      </w:r>
      <w:r w:rsidRPr="00513209">
        <w:rPr>
          <w:rFonts w:ascii="標楷體" w:eastAsia="標楷體" w:hAnsi="標楷體"/>
          <w:sz w:val="28"/>
          <w:szCs w:val="28"/>
        </w:rPr>
        <w:t>60.49</w:t>
      </w:r>
      <w:r w:rsidRPr="00513209">
        <w:rPr>
          <w:rFonts w:ascii="標楷體" w:eastAsia="標楷體" w:hAnsi="標楷體" w:hint="eastAsia"/>
          <w:sz w:val="28"/>
          <w:szCs w:val="28"/>
        </w:rPr>
        <w:t>億元，約為</w:t>
      </w:r>
      <w:r w:rsidRPr="00513209">
        <w:rPr>
          <w:rFonts w:ascii="標楷體" w:eastAsia="標楷體" w:hAnsi="標楷體"/>
          <w:sz w:val="28"/>
          <w:szCs w:val="28"/>
        </w:rPr>
        <w:t>112</w:t>
      </w:r>
      <w:r w:rsidRPr="00513209">
        <w:rPr>
          <w:rFonts w:ascii="標楷體" w:eastAsia="標楷體" w:hAnsi="標楷體" w:hint="eastAsia"/>
          <w:sz w:val="28"/>
          <w:szCs w:val="28"/>
        </w:rPr>
        <w:t>年的兩倍；而自</w:t>
      </w:r>
      <w:r w:rsidRPr="00513209">
        <w:rPr>
          <w:rFonts w:ascii="標楷體" w:eastAsia="標楷體" w:hAnsi="標楷體"/>
          <w:sz w:val="28"/>
          <w:szCs w:val="28"/>
          <w:u w:val="single"/>
        </w:rPr>
        <w:t>114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年</w:t>
      </w:r>
      <w:r w:rsidRPr="00513209">
        <w:rPr>
          <w:rFonts w:ascii="標楷體" w:eastAsia="標楷體" w:hAnsi="標楷體" w:hint="eastAsia"/>
          <w:sz w:val="28"/>
          <w:szCs w:val="28"/>
        </w:rPr>
        <w:t>起，除健保總額內預算外，亦已公務預算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挹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注</w:t>
      </w:r>
      <w:r w:rsidRPr="00513209">
        <w:rPr>
          <w:rFonts w:ascii="標楷體" w:eastAsia="標楷體" w:hAnsi="標楷體"/>
          <w:sz w:val="28"/>
          <w:szCs w:val="28"/>
        </w:rPr>
        <w:t>50</w:t>
      </w:r>
      <w:r w:rsidRPr="00513209">
        <w:rPr>
          <w:rFonts w:ascii="標楷體" w:eastAsia="標楷體" w:hAnsi="標楷體" w:hint="eastAsia"/>
          <w:sz w:val="28"/>
          <w:szCs w:val="28"/>
        </w:rPr>
        <w:t>億元設立之「癌症新藥暫時性支付專款」，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新藥相關預算約</w:t>
      </w:r>
      <w:r w:rsidRPr="00513209">
        <w:rPr>
          <w:rFonts w:ascii="標楷體" w:eastAsia="標楷體" w:hAnsi="標楷體"/>
          <w:sz w:val="28"/>
          <w:szCs w:val="28"/>
          <w:u w:val="single"/>
        </w:rPr>
        <w:t>101.27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億元</w:t>
      </w:r>
      <w:r w:rsidRPr="00513209">
        <w:rPr>
          <w:rFonts w:ascii="標楷體" w:eastAsia="標楷體" w:hAnsi="標楷體" w:hint="eastAsia"/>
          <w:sz w:val="28"/>
          <w:szCs w:val="28"/>
        </w:rPr>
        <w:t>，突破百億規模，</w:t>
      </w:r>
      <w:r w:rsidRPr="00513209">
        <w:rPr>
          <w:rFonts w:ascii="標楷體" w:eastAsia="標楷體" w:hAnsi="標楷體"/>
          <w:sz w:val="28"/>
          <w:szCs w:val="28"/>
          <w:u w:val="single"/>
        </w:rPr>
        <w:t>115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年亦較</w:t>
      </w:r>
      <w:r w:rsidRPr="00513209">
        <w:rPr>
          <w:rFonts w:ascii="標楷體" w:eastAsia="標楷體" w:hAnsi="標楷體"/>
          <w:sz w:val="28"/>
          <w:szCs w:val="28"/>
          <w:u w:val="single"/>
        </w:rPr>
        <w:t>114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年微幅成長達約</w:t>
      </w:r>
      <w:r w:rsidRPr="00513209">
        <w:rPr>
          <w:rFonts w:ascii="標楷體" w:eastAsia="標楷體" w:hAnsi="標楷體"/>
          <w:sz w:val="28"/>
          <w:szCs w:val="28"/>
          <w:u w:val="single"/>
        </w:rPr>
        <w:t>104.38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億元</w:t>
      </w:r>
      <w:r w:rsidRPr="00513209">
        <w:rPr>
          <w:rFonts w:ascii="標楷體" w:eastAsia="標楷體" w:hAnsi="標楷體" w:hint="eastAsia"/>
          <w:sz w:val="28"/>
          <w:szCs w:val="28"/>
        </w:rPr>
        <w:t>。</w:t>
      </w:r>
    </w:p>
    <w:p w14:paraId="4D97C984" w14:textId="21EF4726" w:rsidR="00E01E22" w:rsidRPr="00513209" w:rsidRDefault="00E01E22" w:rsidP="00513209">
      <w:pPr>
        <w:numPr>
          <w:ilvl w:val="0"/>
          <w:numId w:val="4"/>
        </w:numPr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 w:rsidRPr="00513209">
        <w:rPr>
          <w:rFonts w:ascii="標楷體" w:eastAsia="標楷體" w:hAnsi="標楷體" w:hint="eastAsia"/>
          <w:b/>
          <w:bCs/>
          <w:sz w:val="28"/>
          <w:szCs w:val="28"/>
        </w:rPr>
        <w:t>公開溝通，</w:t>
      </w:r>
      <w:proofErr w:type="gramStart"/>
      <w:r w:rsidRPr="00513209">
        <w:rPr>
          <w:rFonts w:ascii="標楷體" w:eastAsia="標楷體" w:hAnsi="標楷體" w:hint="eastAsia"/>
          <w:b/>
          <w:bCs/>
          <w:sz w:val="28"/>
          <w:szCs w:val="28"/>
        </w:rPr>
        <w:t>研</w:t>
      </w:r>
      <w:proofErr w:type="gramEnd"/>
      <w:r w:rsidRPr="00513209">
        <w:rPr>
          <w:rFonts w:ascii="標楷體" w:eastAsia="標楷體" w:hAnsi="標楷體" w:hint="eastAsia"/>
          <w:b/>
          <w:bCs/>
          <w:sz w:val="28"/>
          <w:szCs w:val="28"/>
        </w:rPr>
        <w:t>議MEA法規未來方向：</w:t>
      </w:r>
    </w:p>
    <w:p w14:paraId="531AA4EB" w14:textId="77777777" w:rsidR="00E01E22" w:rsidRPr="00513209" w:rsidRDefault="00E01E22" w:rsidP="00513209">
      <w:pPr>
        <w:numPr>
          <w:ilvl w:val="0"/>
          <w:numId w:val="6"/>
        </w:numPr>
        <w:spacing w:line="440" w:lineRule="exact"/>
        <w:rPr>
          <w:rFonts w:ascii="標楷體" w:eastAsia="標楷體" w:hAnsi="標楷體"/>
          <w:sz w:val="28"/>
          <w:szCs w:val="28"/>
        </w:rPr>
      </w:pPr>
      <w:r w:rsidRPr="00513209">
        <w:rPr>
          <w:rFonts w:ascii="標楷體" w:eastAsia="標楷體" w:hAnsi="標楷體" w:hint="eastAsia"/>
          <w:sz w:val="28"/>
          <w:szCs w:val="28"/>
        </w:rPr>
        <w:t>為使藥品給付協議(MEA/PVA)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制度朝可預測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性、公開、平等之原則，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本署自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2023年起已多次邀集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藥業公協會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及外商在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lastRenderedPageBreak/>
        <w:t>臺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商會交換意見，並於2024年3月13日召開「全民健康保險藥物給付項目及支付標準」修正藥品給付協議相關條文（草案）溝通會議，與各公協會及商會之藥商代表逐條討論。</w:t>
      </w:r>
    </w:p>
    <w:p w14:paraId="4035AEA7" w14:textId="797CECB2" w:rsidR="00E01E22" w:rsidRPr="00513209" w:rsidRDefault="00E01E22" w:rsidP="00513209">
      <w:pPr>
        <w:numPr>
          <w:ilvl w:val="0"/>
          <w:numId w:val="6"/>
        </w:numPr>
        <w:spacing w:line="440" w:lineRule="exact"/>
        <w:rPr>
          <w:rFonts w:ascii="標楷體" w:eastAsia="標楷體" w:hAnsi="標楷體"/>
          <w:sz w:val="28"/>
          <w:szCs w:val="28"/>
        </w:rPr>
      </w:pP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惟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各界對相關條文，特別是還款比例尚無共識，為利現行協商之給付協議書簽訂作業易達成共識，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本署先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提供現行藥品給付協議書範本予各公協會參考</w:t>
      </w:r>
      <w:r w:rsidR="00FB2667" w:rsidRPr="00513209">
        <w:rPr>
          <w:rFonts w:ascii="標楷體" w:eastAsia="標楷體" w:hAnsi="標楷體" w:hint="eastAsia"/>
          <w:sz w:val="28"/>
          <w:szCs w:val="28"/>
        </w:rPr>
        <w:t>(附件1)</w:t>
      </w:r>
      <w:r w:rsidRPr="00513209">
        <w:rPr>
          <w:rFonts w:ascii="標楷體" w:eastAsia="標楷體" w:hAnsi="標楷體" w:hint="eastAsia"/>
          <w:sz w:val="28"/>
          <w:szCs w:val="28"/>
        </w:rPr>
        <w:t>，已於2024年10月23日彙整現行「藥品給付協議書範本」，函送相關公協商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會酌參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，廠商與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健保署可依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個案需求修正合約內容(如保密協議)。</w:t>
      </w:r>
    </w:p>
    <w:p w14:paraId="7D326C27" w14:textId="489155D6" w:rsidR="00E01E22" w:rsidRPr="00513209" w:rsidRDefault="00E01E22" w:rsidP="00513209">
      <w:pPr>
        <w:numPr>
          <w:ilvl w:val="0"/>
          <w:numId w:val="6"/>
        </w:numPr>
        <w:spacing w:line="440" w:lineRule="exact"/>
        <w:rPr>
          <w:rFonts w:ascii="標楷體" w:eastAsia="標楷體" w:hAnsi="標楷體"/>
          <w:sz w:val="28"/>
          <w:szCs w:val="28"/>
        </w:rPr>
      </w:pP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本署後續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於2025年7月16日、11月19日召開藥品政策改革系列溝通說明會，邀集醫藥界公、協、學會及商會與會，另請各界會後就各項藥品政策改革提供相關建議</w:t>
      </w:r>
      <w:r w:rsidR="00FB2667" w:rsidRPr="00513209">
        <w:rPr>
          <w:rFonts w:ascii="標楷體" w:eastAsia="標楷體" w:hAnsi="標楷體" w:hint="eastAsia"/>
          <w:sz w:val="28"/>
          <w:szCs w:val="28"/>
        </w:rPr>
        <w:t>(各界意見詳見附件2)</w:t>
      </w:r>
      <w:r w:rsidRPr="00513209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惟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給付協議修正亦涉及藥費管控及對健保總額之影響，需凝聚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醫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界與藥界之共識，</w:t>
      </w:r>
      <w:r w:rsidRPr="00513209">
        <w:rPr>
          <w:rFonts w:ascii="標楷體" w:eastAsia="標楷體" w:hAnsi="標楷體" w:hint="eastAsia"/>
          <w:sz w:val="28"/>
          <w:szCs w:val="28"/>
          <w:u w:val="single"/>
        </w:rPr>
        <w:t>規劃將在2026下半年召開分項議題討論會議</w:t>
      </w:r>
      <w:r w:rsidRPr="00513209">
        <w:rPr>
          <w:rFonts w:ascii="標楷體" w:eastAsia="標楷體" w:hAnsi="標楷體" w:hint="eastAsia"/>
          <w:sz w:val="28"/>
          <w:szCs w:val="28"/>
        </w:rPr>
        <w:t>，持續與各界溝通，擬具共識後</w:t>
      </w:r>
      <w:proofErr w:type="gramStart"/>
      <w:r w:rsidRPr="00513209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Pr="00513209">
        <w:rPr>
          <w:rFonts w:ascii="標楷體" w:eastAsia="標楷體" w:hAnsi="標楷體" w:hint="eastAsia"/>
          <w:sz w:val="28"/>
          <w:szCs w:val="28"/>
        </w:rPr>
        <w:t>商相關修法事項。</w:t>
      </w:r>
    </w:p>
    <w:sectPr w:rsidR="00E01E22" w:rsidRPr="005132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F41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>
      <w:start w:val="1"/>
      <w:numFmt w:val="ideographTraditional"/>
      <w:lvlText w:val="%2、"/>
      <w:lvlJc w:val="left"/>
      <w:pPr>
        <w:ind w:left="1529" w:hanging="480"/>
      </w:pPr>
    </w:lvl>
    <w:lvl w:ilvl="2" w:tplc="0409001B">
      <w:start w:val="1"/>
      <w:numFmt w:val="lowerRoman"/>
      <w:lvlText w:val="%3."/>
      <w:lvlJc w:val="right"/>
      <w:pPr>
        <w:ind w:left="2009" w:hanging="480"/>
      </w:pPr>
    </w:lvl>
    <w:lvl w:ilvl="3" w:tplc="0409000F">
      <w:start w:val="1"/>
      <w:numFmt w:val="decimal"/>
      <w:lvlText w:val="%4."/>
      <w:lvlJc w:val="left"/>
      <w:pPr>
        <w:ind w:left="2489" w:hanging="480"/>
      </w:pPr>
    </w:lvl>
    <w:lvl w:ilvl="4" w:tplc="04090019">
      <w:start w:val="1"/>
      <w:numFmt w:val="ideographTraditional"/>
      <w:lvlText w:val="%5、"/>
      <w:lvlJc w:val="left"/>
      <w:pPr>
        <w:ind w:left="2969" w:hanging="480"/>
      </w:pPr>
    </w:lvl>
    <w:lvl w:ilvl="5" w:tplc="0409001B">
      <w:start w:val="1"/>
      <w:numFmt w:val="lowerRoman"/>
      <w:lvlText w:val="%6."/>
      <w:lvlJc w:val="right"/>
      <w:pPr>
        <w:ind w:left="3449" w:hanging="480"/>
      </w:pPr>
    </w:lvl>
    <w:lvl w:ilvl="6" w:tplc="0409000F">
      <w:start w:val="1"/>
      <w:numFmt w:val="decimal"/>
      <w:lvlText w:val="%7."/>
      <w:lvlJc w:val="left"/>
      <w:pPr>
        <w:ind w:left="3929" w:hanging="480"/>
      </w:pPr>
    </w:lvl>
    <w:lvl w:ilvl="7" w:tplc="04090019">
      <w:start w:val="1"/>
      <w:numFmt w:val="ideographTraditional"/>
      <w:lvlText w:val="%8、"/>
      <w:lvlJc w:val="left"/>
      <w:pPr>
        <w:ind w:left="4409" w:hanging="480"/>
      </w:pPr>
    </w:lvl>
    <w:lvl w:ilvl="8" w:tplc="0409001B">
      <w:start w:val="1"/>
      <w:numFmt w:val="lowerRoman"/>
      <w:lvlText w:val="%9."/>
      <w:lvlJc w:val="right"/>
      <w:pPr>
        <w:ind w:left="4889" w:hanging="480"/>
      </w:pPr>
    </w:lvl>
  </w:abstractNum>
  <w:abstractNum w:abstractNumId="1" w15:restartNumberingAfterBreak="0">
    <w:nsid w:val="05E01F26"/>
    <w:multiLevelType w:val="hybridMultilevel"/>
    <w:tmpl w:val="53A6948C"/>
    <w:lvl w:ilvl="0" w:tplc="2214D9DC">
      <w:start w:val="1"/>
      <w:numFmt w:val="taiwaneseCountingThousand"/>
      <w:lvlText w:val="%1、"/>
      <w:lvlJc w:val="left"/>
      <w:pPr>
        <w:ind w:left="1571" w:hanging="720"/>
      </w:pPr>
      <w:rPr>
        <w:rFonts w:ascii="標楷體" w:eastAsia="標楷體" w:hAnsi="標楷體" w:cs="Times New Roman" w:hint="default"/>
        <w:b w:val="0"/>
        <w:bCs/>
        <w:color w:val="07162D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" w15:restartNumberingAfterBreak="0">
    <w:nsid w:val="09023DE8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>
      <w:start w:val="1"/>
      <w:numFmt w:val="ideographTraditional"/>
      <w:lvlText w:val="%2、"/>
      <w:lvlJc w:val="left"/>
      <w:pPr>
        <w:ind w:left="1529" w:hanging="480"/>
      </w:pPr>
    </w:lvl>
    <w:lvl w:ilvl="2" w:tplc="0409001B">
      <w:start w:val="1"/>
      <w:numFmt w:val="lowerRoman"/>
      <w:lvlText w:val="%3."/>
      <w:lvlJc w:val="right"/>
      <w:pPr>
        <w:ind w:left="2009" w:hanging="480"/>
      </w:pPr>
    </w:lvl>
    <w:lvl w:ilvl="3" w:tplc="0409000F">
      <w:start w:val="1"/>
      <w:numFmt w:val="decimal"/>
      <w:lvlText w:val="%4."/>
      <w:lvlJc w:val="left"/>
      <w:pPr>
        <w:ind w:left="2489" w:hanging="480"/>
      </w:pPr>
    </w:lvl>
    <w:lvl w:ilvl="4" w:tplc="04090019">
      <w:start w:val="1"/>
      <w:numFmt w:val="ideographTraditional"/>
      <w:lvlText w:val="%5、"/>
      <w:lvlJc w:val="left"/>
      <w:pPr>
        <w:ind w:left="2969" w:hanging="480"/>
      </w:pPr>
    </w:lvl>
    <w:lvl w:ilvl="5" w:tplc="0409001B">
      <w:start w:val="1"/>
      <w:numFmt w:val="lowerRoman"/>
      <w:lvlText w:val="%6."/>
      <w:lvlJc w:val="right"/>
      <w:pPr>
        <w:ind w:left="3449" w:hanging="480"/>
      </w:pPr>
    </w:lvl>
    <w:lvl w:ilvl="6" w:tplc="0409000F">
      <w:start w:val="1"/>
      <w:numFmt w:val="decimal"/>
      <w:lvlText w:val="%7."/>
      <w:lvlJc w:val="left"/>
      <w:pPr>
        <w:ind w:left="3929" w:hanging="480"/>
      </w:pPr>
    </w:lvl>
    <w:lvl w:ilvl="7" w:tplc="04090019">
      <w:start w:val="1"/>
      <w:numFmt w:val="ideographTraditional"/>
      <w:lvlText w:val="%8、"/>
      <w:lvlJc w:val="left"/>
      <w:pPr>
        <w:ind w:left="4409" w:hanging="480"/>
      </w:pPr>
    </w:lvl>
    <w:lvl w:ilvl="8" w:tplc="0409001B">
      <w:start w:val="1"/>
      <w:numFmt w:val="lowerRoman"/>
      <w:lvlText w:val="%9."/>
      <w:lvlJc w:val="right"/>
      <w:pPr>
        <w:ind w:left="4889" w:hanging="480"/>
      </w:pPr>
    </w:lvl>
  </w:abstractNum>
  <w:abstractNum w:abstractNumId="3" w15:restartNumberingAfterBreak="0">
    <w:nsid w:val="144833B7"/>
    <w:multiLevelType w:val="hybridMultilevel"/>
    <w:tmpl w:val="8ADC7C42"/>
    <w:lvl w:ilvl="0" w:tplc="615EDB38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493D50"/>
    <w:multiLevelType w:val="hybridMultilevel"/>
    <w:tmpl w:val="28D02E0E"/>
    <w:lvl w:ilvl="0" w:tplc="6CD6D5E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FC36A46"/>
    <w:multiLevelType w:val="hybridMultilevel"/>
    <w:tmpl w:val="AD72874A"/>
    <w:lvl w:ilvl="0" w:tplc="8C72819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3FD2C1E"/>
    <w:multiLevelType w:val="hybridMultilevel"/>
    <w:tmpl w:val="FA2AA2A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D2965F6E">
      <w:start w:val="1"/>
      <w:numFmt w:val="decimal"/>
      <w:lvlText w:val="%3."/>
      <w:lvlJc w:val="left"/>
      <w:pPr>
        <w:ind w:left="1320" w:hanging="360"/>
      </w:pPr>
    </w:lvl>
    <w:lvl w:ilvl="3" w:tplc="23D292F0">
      <w:start w:val="1"/>
      <w:numFmt w:val="decimal"/>
      <w:lvlText w:val="(%4)"/>
      <w:lvlJc w:val="left"/>
      <w:pPr>
        <w:ind w:left="1800" w:hanging="36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6940E08"/>
    <w:multiLevelType w:val="hybridMultilevel"/>
    <w:tmpl w:val="A7422688"/>
    <w:lvl w:ilvl="0" w:tplc="8B0CCA8C">
      <w:start w:val="1"/>
      <w:numFmt w:val="taiwaneseCountingThousand"/>
      <w:lvlText w:val="(%1)"/>
      <w:lvlJc w:val="left"/>
      <w:pPr>
        <w:ind w:left="1899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1244" w:hanging="480"/>
      </w:pPr>
    </w:lvl>
    <w:lvl w:ilvl="2" w:tplc="0409001B">
      <w:start w:val="1"/>
      <w:numFmt w:val="lowerRoman"/>
      <w:lvlText w:val="%3."/>
      <w:lvlJc w:val="right"/>
      <w:pPr>
        <w:ind w:left="1724" w:hanging="480"/>
      </w:pPr>
    </w:lvl>
    <w:lvl w:ilvl="3" w:tplc="0409000F">
      <w:start w:val="1"/>
      <w:numFmt w:val="decimal"/>
      <w:lvlText w:val="%4."/>
      <w:lvlJc w:val="left"/>
      <w:pPr>
        <w:ind w:left="2204" w:hanging="480"/>
      </w:pPr>
    </w:lvl>
    <w:lvl w:ilvl="4" w:tplc="04090019">
      <w:start w:val="1"/>
      <w:numFmt w:val="ideographTraditional"/>
      <w:lvlText w:val="%5、"/>
      <w:lvlJc w:val="left"/>
      <w:pPr>
        <w:ind w:left="2684" w:hanging="480"/>
      </w:pPr>
    </w:lvl>
    <w:lvl w:ilvl="5" w:tplc="0409001B">
      <w:start w:val="1"/>
      <w:numFmt w:val="lowerRoman"/>
      <w:lvlText w:val="%6."/>
      <w:lvlJc w:val="right"/>
      <w:pPr>
        <w:ind w:left="3164" w:hanging="480"/>
      </w:pPr>
    </w:lvl>
    <w:lvl w:ilvl="6" w:tplc="0409000F">
      <w:start w:val="1"/>
      <w:numFmt w:val="decimal"/>
      <w:lvlText w:val="%7."/>
      <w:lvlJc w:val="left"/>
      <w:pPr>
        <w:ind w:left="3644" w:hanging="480"/>
      </w:pPr>
    </w:lvl>
    <w:lvl w:ilvl="7" w:tplc="04090019">
      <w:start w:val="1"/>
      <w:numFmt w:val="ideographTraditional"/>
      <w:lvlText w:val="%8、"/>
      <w:lvlJc w:val="left"/>
      <w:pPr>
        <w:ind w:left="4124" w:hanging="480"/>
      </w:pPr>
    </w:lvl>
    <w:lvl w:ilvl="8" w:tplc="0409001B">
      <w:start w:val="1"/>
      <w:numFmt w:val="lowerRoman"/>
      <w:lvlText w:val="%9."/>
      <w:lvlJc w:val="right"/>
      <w:pPr>
        <w:ind w:left="4604" w:hanging="480"/>
      </w:pPr>
    </w:lvl>
  </w:abstractNum>
  <w:abstractNum w:abstractNumId="8" w15:restartNumberingAfterBreak="0">
    <w:nsid w:val="6D3257F7"/>
    <w:multiLevelType w:val="hybridMultilevel"/>
    <w:tmpl w:val="DF9C2306"/>
    <w:lvl w:ilvl="0" w:tplc="1A684DAE">
      <w:start w:val="1"/>
      <w:numFmt w:val="taiwaneseCountingThousand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77BF1C47"/>
    <w:multiLevelType w:val="hybridMultilevel"/>
    <w:tmpl w:val="0A386B3C"/>
    <w:lvl w:ilvl="0" w:tplc="BD38B17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E84E85"/>
    <w:multiLevelType w:val="hybridMultilevel"/>
    <w:tmpl w:val="1980B4F6"/>
    <w:lvl w:ilvl="0" w:tplc="1A684DAE">
      <w:start w:val="1"/>
      <w:numFmt w:val="taiwaneseCountingThousand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 w15:restartNumberingAfterBreak="0">
    <w:nsid w:val="7A1B2DFA"/>
    <w:multiLevelType w:val="hybridMultilevel"/>
    <w:tmpl w:val="CE566A3E"/>
    <w:lvl w:ilvl="0" w:tplc="981E44F4">
      <w:start w:val="2"/>
      <w:numFmt w:val="taiwaneseCountingThousand"/>
      <w:lvlText w:val="（%1）"/>
      <w:lvlJc w:val="left"/>
      <w:pPr>
        <w:ind w:left="171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2" w15:restartNumberingAfterBreak="0">
    <w:nsid w:val="7A561B1C"/>
    <w:multiLevelType w:val="hybridMultilevel"/>
    <w:tmpl w:val="8E1E8A20"/>
    <w:lvl w:ilvl="0" w:tplc="63CE66FC">
      <w:start w:val="1"/>
      <w:numFmt w:val="taiwaneseCountingThousand"/>
      <w:lvlText w:val="(%1)"/>
      <w:lvlJc w:val="left"/>
      <w:pPr>
        <w:ind w:left="338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818" w:hanging="480"/>
      </w:pPr>
    </w:lvl>
    <w:lvl w:ilvl="2" w:tplc="0409001B">
      <w:start w:val="1"/>
      <w:numFmt w:val="lowerRoman"/>
      <w:lvlText w:val="%3."/>
      <w:lvlJc w:val="right"/>
      <w:pPr>
        <w:ind w:left="1298" w:hanging="480"/>
      </w:pPr>
    </w:lvl>
    <w:lvl w:ilvl="3" w:tplc="0409000F">
      <w:start w:val="1"/>
      <w:numFmt w:val="decimal"/>
      <w:lvlText w:val="%4."/>
      <w:lvlJc w:val="left"/>
      <w:pPr>
        <w:ind w:left="1778" w:hanging="480"/>
      </w:pPr>
    </w:lvl>
    <w:lvl w:ilvl="4" w:tplc="04090019">
      <w:start w:val="1"/>
      <w:numFmt w:val="ideographTraditional"/>
      <w:lvlText w:val="%5、"/>
      <w:lvlJc w:val="left"/>
      <w:pPr>
        <w:ind w:left="2258" w:hanging="480"/>
      </w:pPr>
    </w:lvl>
    <w:lvl w:ilvl="5" w:tplc="0409001B">
      <w:start w:val="1"/>
      <w:numFmt w:val="lowerRoman"/>
      <w:lvlText w:val="%6."/>
      <w:lvlJc w:val="right"/>
      <w:pPr>
        <w:ind w:left="2738" w:hanging="480"/>
      </w:pPr>
    </w:lvl>
    <w:lvl w:ilvl="6" w:tplc="0409000F">
      <w:start w:val="1"/>
      <w:numFmt w:val="decimal"/>
      <w:lvlText w:val="%7."/>
      <w:lvlJc w:val="left"/>
      <w:pPr>
        <w:ind w:left="3218" w:hanging="480"/>
      </w:pPr>
    </w:lvl>
    <w:lvl w:ilvl="7" w:tplc="04090019">
      <w:start w:val="1"/>
      <w:numFmt w:val="ideographTraditional"/>
      <w:lvlText w:val="%8、"/>
      <w:lvlJc w:val="left"/>
      <w:pPr>
        <w:ind w:left="3698" w:hanging="480"/>
      </w:pPr>
    </w:lvl>
    <w:lvl w:ilvl="8" w:tplc="0409001B">
      <w:start w:val="1"/>
      <w:numFmt w:val="lowerRoman"/>
      <w:lvlText w:val="%9."/>
      <w:lvlJc w:val="right"/>
      <w:pPr>
        <w:ind w:left="4178" w:hanging="480"/>
      </w:pPr>
    </w:lvl>
  </w:abstractNum>
  <w:num w:numId="1" w16cid:durableId="230118354">
    <w:abstractNumId w:val="4"/>
  </w:num>
  <w:num w:numId="2" w16cid:durableId="20223184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3840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4446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6354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7558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7736552">
    <w:abstractNumId w:val="3"/>
  </w:num>
  <w:num w:numId="8" w16cid:durableId="1467621008">
    <w:abstractNumId w:val="1"/>
  </w:num>
  <w:num w:numId="9" w16cid:durableId="1570770834">
    <w:abstractNumId w:val="9"/>
  </w:num>
  <w:num w:numId="10" w16cid:durableId="712120055">
    <w:abstractNumId w:val="5"/>
  </w:num>
  <w:num w:numId="11" w16cid:durableId="1623927231">
    <w:abstractNumId w:val="11"/>
  </w:num>
  <w:num w:numId="12" w16cid:durableId="2087072590">
    <w:abstractNumId w:val="8"/>
  </w:num>
  <w:num w:numId="13" w16cid:durableId="941036624">
    <w:abstractNumId w:val="10"/>
  </w:num>
  <w:num w:numId="14" w16cid:durableId="622537612">
    <w:abstractNumId w:val="6"/>
  </w:num>
  <w:num w:numId="15" w16cid:durableId="136590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F4"/>
    <w:rsid w:val="00017EC8"/>
    <w:rsid w:val="000A50B9"/>
    <w:rsid w:val="000E5F92"/>
    <w:rsid w:val="001166C9"/>
    <w:rsid w:val="001407BB"/>
    <w:rsid w:val="001D19F6"/>
    <w:rsid w:val="002100E5"/>
    <w:rsid w:val="00255D3A"/>
    <w:rsid w:val="00340AB5"/>
    <w:rsid w:val="003D4EC9"/>
    <w:rsid w:val="004706A5"/>
    <w:rsid w:val="004E7D63"/>
    <w:rsid w:val="00500D7D"/>
    <w:rsid w:val="00513209"/>
    <w:rsid w:val="00583AB2"/>
    <w:rsid w:val="00584EB5"/>
    <w:rsid w:val="005F4BE9"/>
    <w:rsid w:val="00692FBC"/>
    <w:rsid w:val="006B69C0"/>
    <w:rsid w:val="006D199C"/>
    <w:rsid w:val="0071678F"/>
    <w:rsid w:val="00755CCE"/>
    <w:rsid w:val="0078466A"/>
    <w:rsid w:val="0085188E"/>
    <w:rsid w:val="00851DD3"/>
    <w:rsid w:val="00896FCE"/>
    <w:rsid w:val="008E036A"/>
    <w:rsid w:val="00970443"/>
    <w:rsid w:val="00A07F78"/>
    <w:rsid w:val="00A52024"/>
    <w:rsid w:val="00A52426"/>
    <w:rsid w:val="00AA3167"/>
    <w:rsid w:val="00AB6C0C"/>
    <w:rsid w:val="00AF52DF"/>
    <w:rsid w:val="00B02A13"/>
    <w:rsid w:val="00B43CB4"/>
    <w:rsid w:val="00B744C5"/>
    <w:rsid w:val="00BE00E6"/>
    <w:rsid w:val="00CA48F4"/>
    <w:rsid w:val="00DC36E9"/>
    <w:rsid w:val="00E01E22"/>
    <w:rsid w:val="00E1563B"/>
    <w:rsid w:val="00E96E49"/>
    <w:rsid w:val="00EA30D4"/>
    <w:rsid w:val="00EC66D7"/>
    <w:rsid w:val="00ED0411"/>
    <w:rsid w:val="00F42488"/>
    <w:rsid w:val="00FB2667"/>
    <w:rsid w:val="00FD0C92"/>
    <w:rsid w:val="00FD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2112"/>
  <w15:chartTrackingRefBased/>
  <w15:docId w15:val="{91D72AEC-034B-4935-92B8-D4C26033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8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8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8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8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8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8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8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A48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48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4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48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48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48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48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4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8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8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4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48F4"/>
    <w:rPr>
      <w:i/>
      <w:iCs/>
      <w:color w:val="404040" w:themeColor="text1" w:themeTint="BF"/>
    </w:rPr>
  </w:style>
  <w:style w:type="paragraph" w:styleId="a9">
    <w:name w:val="List Paragraph"/>
    <w:aliases w:val="說明內容,標題 (4),1.1.1.1清單段落,(二),列點,清單段落2,1.1,List Paragraph1,圖標號,picture,卑南壹,樣式 清單段落+標題2,彩色清單 - 輔色 11,清單段落1,表格清單,清單段落3,參考文獻,01章名,標題(一),lp1,FooterText,numbered,Paragraphe de liste1,標1,Recommendation,Footnote Sam,標題一,Bulletr List Paragraph,Bullet List"/>
    <w:basedOn w:val="a"/>
    <w:link w:val="aa"/>
    <w:uiPriority w:val="34"/>
    <w:qFormat/>
    <w:rsid w:val="00CA48F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A48F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A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CA48F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A48F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1678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Default">
    <w:name w:val="Default"/>
    <w:basedOn w:val="a"/>
    <w:rsid w:val="0071678F"/>
    <w:pPr>
      <w:widowControl/>
      <w:autoSpaceDE w:val="0"/>
      <w:autoSpaceDN w:val="0"/>
      <w:spacing w:after="0" w:line="240" w:lineRule="auto"/>
    </w:pPr>
    <w:rPr>
      <w:rFonts w:ascii="標楷體" w:eastAsia="標楷體" w:hAnsi="標楷體" w:cs="新細明體"/>
      <w:color w:val="000000"/>
      <w:kern w:val="0"/>
      <w14:ligatures w14:val="none"/>
    </w:rPr>
  </w:style>
  <w:style w:type="character" w:customStyle="1" w:styleId="aa">
    <w:name w:val="清單段落 字元"/>
    <w:aliases w:val="說明內容 字元,標題 (4) 字元,1.1.1.1清單段落 字元,(二) 字元,列點 字元,清單段落2 字元,1.1 字元,List Paragraph1 字元,圖標號 字元,picture 字元,卑南壹 字元,樣式 清單段落+標題2 字元,彩色清單 - 輔色 11 字元,清單段落1 字元,表格清單 字元,清單段落3 字元,參考文獻 字元,01章名 字元,標題(一) 字元,lp1 字元,FooterText 字元,numbered 字元,Paragraphe de liste1 字元"/>
    <w:link w:val="a9"/>
    <w:uiPriority w:val="34"/>
    <w:qFormat/>
    <w:rsid w:val="00716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謝怡菁</dc:creator>
  <cp:keywords/>
  <dc:description/>
  <cp:lastModifiedBy>謝怡菁</cp:lastModifiedBy>
  <cp:revision>6</cp:revision>
  <cp:lastPrinted>2026-08-04T08:34:00Z</cp:lastPrinted>
  <dcterms:created xsi:type="dcterms:W3CDTF">2026-08-04T08:09:00Z</dcterms:created>
  <dcterms:modified xsi:type="dcterms:W3CDTF">2026-08-04T09:10:00Z</dcterms:modified>
</cp:coreProperties>
</file>