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416D" w:rsidRDefault="00F15B97">
      <w:pPr>
        <w:jc w:val="center"/>
      </w:pPr>
      <w:r>
        <w:rPr>
          <w:noProof/>
        </w:rPr>
        <mc:AlternateContent>
          <mc:Choice Requires="wps">
            <w:drawing>
              <wp:anchor distT="0" distB="0" distL="114300" distR="114300" simplePos="0" relativeHeight="251659776" behindDoc="1" locked="0" layoutInCell="1" allowOverlap="1" wp14:anchorId="12F734BD" wp14:editId="30AEEE2F">
                <wp:simplePos x="0" y="0"/>
                <wp:positionH relativeFrom="column">
                  <wp:posOffset>3952878</wp:posOffset>
                </wp:positionH>
                <wp:positionV relativeFrom="paragraph">
                  <wp:posOffset>47621</wp:posOffset>
                </wp:positionV>
                <wp:extent cx="1181103" cy="1403988"/>
                <wp:effectExtent l="0" t="0" r="0" b="5712"/>
                <wp:wrapNone/>
                <wp:docPr id="1" name="文字方塊 2"/>
                <wp:cNvGraphicFramePr/>
                <a:graphic xmlns:a="http://schemas.openxmlformats.org/drawingml/2006/main">
                  <a:graphicData uri="http://schemas.microsoft.com/office/word/2010/wordprocessingShape">
                    <wps:wsp>
                      <wps:cNvSpPr txBox="1"/>
                      <wps:spPr>
                        <a:xfrm>
                          <a:off x="0" y="0"/>
                          <a:ext cx="1181103" cy="1403988"/>
                        </a:xfrm>
                        <a:prstGeom prst="rect">
                          <a:avLst/>
                        </a:prstGeom>
                        <a:solidFill>
                          <a:srgbClr val="FFFFFF"/>
                        </a:solidFill>
                        <a:ln>
                          <a:noFill/>
                          <a:prstDash/>
                        </a:ln>
                      </wps:spPr>
                      <wps:txbx>
                        <w:txbxContent>
                          <w:p w:rsidR="0042416D" w:rsidRDefault="00F15B97">
                            <w:pPr>
                              <w:jc w:val="center"/>
                              <w:rPr>
                                <w:lang w:eastAsia="zh-TW"/>
                              </w:rPr>
                            </w:pPr>
                            <w:r>
                              <w:rPr>
                                <w:lang w:eastAsia="zh-TW"/>
                              </w:rPr>
                              <w:t>115/5/12</w:t>
                            </w:r>
                          </w:p>
                        </w:txbxContent>
                      </wps:txbx>
                      <wps:bodyPr vert="horz" wrap="square" lIns="91440" tIns="45720" rIns="91440" bIns="45720" anchor="t" anchorCtr="0" compatLnSpc="0">
                        <a:spAutoFit/>
                      </wps:bodyPr>
                    </wps:wsp>
                  </a:graphicData>
                </a:graphic>
              </wp:anchor>
            </w:drawing>
          </mc:Choice>
          <mc:Fallback>
            <w:pict>
              <v:shapetype w14:anchorId="12F734BD" id="_x0000_t202" coordsize="21600,21600" o:spt="202" path="m,l,21600r21600,l21600,xe">
                <v:stroke joinstyle="miter"/>
                <v:path gradientshapeok="t" o:connecttype="rect"/>
              </v:shapetype>
              <v:shape id="文字方塊 2" o:spid="_x0000_s1026" type="#_x0000_t202" style="position:absolute;left:0;text-align:left;margin-left:311.25pt;margin-top:3.75pt;width:93pt;height:110.5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Y0d/AEAAL8DAAAOAAAAZHJzL2Uyb0RvYy54bWysU1GO0zAQ/UfiDpb/aZJugW7UdAVbFSGt&#10;AKnLARzHaSw5thm7TcoFkDjA8s0BOAAH2j3Hjp3QFvhD5MPxeJ5f5r2ZLK76VpG9ACeNLmg2SSkR&#10;mptK6m1BP96un80pcZ7piimjRUEPwtGr5dMni87mYmoaoyoBBEm0yztb0MZ7myeJ441omZsYKzQm&#10;awMt8xjCNqmAdcjeqmSapi+SzkBlwXDhHJ6uhiRdRv66Fty/r2snPFEFxdp8XCGuZViT5YLlW2C2&#10;kXwsg/1DFS2TGj96pFoxz8gO5F9UreRgnKn9hJs2MXUtuYgaUE2W/qFm0zArohY0x9mjTe7/0fJ3&#10;+w9AZIW9o0SzFlv0cPfl/se3h7uf99+/kmlwqLMuR+DGItT3r00f0OO5w8MgvK+hDW+URDCPXh+O&#10;/oreEx4uZfMsSy8o4ZjLZunF5XweeJLTdQvOvxGmJWFTUMAGRl/Z/sb5AfoLEr7mjJLVWioVA9iW&#10;1wrInmGz1/EZ2X+DKR3A2oRryMjyQLhirhnoQzoJigdlYef7ssdk2JamOqALOPFYXWPgMyUdTk9B&#10;3acdA0GJequxPZfZbBbGLQaz5y+nGMB5pjzPMM2RqqCekmF77YcRxRmxzN/ojeXBzCjSvtp5rD2a&#10;caporBmnJNo5TnQYw/M4ok7/3fIRAAD//wMAUEsDBBQABgAIAAAAIQAFXHPk3QAAAAkBAAAPAAAA&#10;ZHJzL2Rvd25yZXYueG1sTI8xT8MwEIV3JP6DdUhs1KmlhijEqRASC+pASwfGa2zikPgcYqcN/55j&#10;gunu9J7e+67aLn4QZzvFLpCG9SoDYakJpqNWw/Ht+a4AEROSwSGQ1fBtI2zr66sKSxMutLfnQ2oF&#10;h1AsUYNLaSyljI2zHuMqjJZY+wiTx8Tn1Eoz4YXD/SBVluXSY0fc4HC0T842/WH2XLKLzbwPX5/r&#10;XS/fXZ/j5tW9aH17szw+gEh2SX9m+MVndKiZ6RRmMlEMGnKlNmzVcM+D9SIreDlpUKrIQdaV/P9B&#10;/QMAAP//AwBQSwECLQAUAAYACAAAACEAtoM4kv4AAADhAQAAEwAAAAAAAAAAAAAAAAAAAAAAW0Nv&#10;bnRlbnRfVHlwZXNdLnhtbFBLAQItABQABgAIAAAAIQA4/SH/1gAAAJQBAAALAAAAAAAAAAAAAAAA&#10;AC8BAABfcmVscy8ucmVsc1BLAQItABQABgAIAAAAIQAbLY0d/AEAAL8DAAAOAAAAAAAAAAAAAAAA&#10;AC4CAABkcnMvZTJvRG9jLnhtbFBLAQItABQABgAIAAAAIQAFXHPk3QAAAAkBAAAPAAAAAAAAAAAA&#10;AAAAAFYEAABkcnMvZG93bnJldi54bWxQSwUGAAAAAAQABADzAAAAYAUAAAAA&#10;" stroked="f">
                <v:textbox style="mso-fit-shape-to-text:t">
                  <w:txbxContent>
                    <w:p w:rsidR="0042416D" w:rsidRDefault="00F15B97">
                      <w:pPr>
                        <w:jc w:val="center"/>
                        <w:rPr>
                          <w:lang w:eastAsia="zh-TW"/>
                        </w:rPr>
                      </w:pPr>
                      <w:r>
                        <w:rPr>
                          <w:lang w:eastAsia="zh-TW"/>
                        </w:rPr>
                        <w:t>115/5/12</w:t>
                      </w:r>
                    </w:p>
                  </w:txbxContent>
                </v:textbox>
              </v:shape>
            </w:pict>
          </mc:Fallback>
        </mc:AlternateContent>
      </w:r>
      <w:r>
        <w:rPr>
          <w:noProof/>
        </w:rPr>
        <w:drawing>
          <wp:inline distT="0" distB="0" distL="0" distR="0" wp14:anchorId="41F44B67" wp14:editId="53FD8F73">
            <wp:extent cx="2067778" cy="816367"/>
            <wp:effectExtent l="0" t="0" r="8672" b="2783"/>
            <wp:docPr id="2" name="圖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7042" t="4295" r="41128" b="80352"/>
                    <a:stretch>
                      <a:fillRect/>
                    </a:stretch>
                  </pic:blipFill>
                  <pic:spPr>
                    <a:xfrm>
                      <a:off x="0" y="0"/>
                      <a:ext cx="2067778" cy="816367"/>
                    </a:xfrm>
                    <a:prstGeom prst="rect">
                      <a:avLst/>
                    </a:prstGeom>
                    <a:noFill/>
                    <a:ln>
                      <a:noFill/>
                      <a:prstDash/>
                    </a:ln>
                  </pic:spPr>
                </pic:pic>
              </a:graphicData>
            </a:graphic>
          </wp:inline>
        </w:drawing>
      </w:r>
    </w:p>
    <w:p w:rsidR="0042416D" w:rsidRDefault="00F15B97">
      <w:pPr>
        <w:pStyle w:val="a3"/>
        <w:numPr>
          <w:ilvl w:val="0"/>
          <w:numId w:val="1"/>
        </w:numPr>
        <w:spacing w:after="0" w:line="280" w:lineRule="exact"/>
        <w:ind w:left="482" w:hanging="482"/>
        <w:rPr>
          <w:rFonts w:ascii="標楷體" w:eastAsia="標楷體" w:hAnsi="標楷體" w:cs="新細明體"/>
          <w:bCs/>
          <w:color w:val="000000"/>
          <w:kern w:val="0"/>
          <w:sz w:val="28"/>
          <w:szCs w:val="28"/>
        </w:rPr>
      </w:pPr>
      <w:r>
        <w:rPr>
          <w:rFonts w:ascii="標楷體" w:eastAsia="標楷體" w:hAnsi="標楷體" w:cs="新細明體"/>
          <w:bCs/>
          <w:color w:val="000000"/>
          <w:kern w:val="0"/>
          <w:sz w:val="28"/>
          <w:szCs w:val="28"/>
        </w:rPr>
        <w:t>採訪單位：新北市醫師公會</w:t>
      </w:r>
    </w:p>
    <w:p w:rsidR="0042416D" w:rsidRDefault="00F15B97">
      <w:pPr>
        <w:pStyle w:val="a3"/>
        <w:numPr>
          <w:ilvl w:val="0"/>
          <w:numId w:val="1"/>
        </w:numPr>
        <w:spacing w:after="0" w:line="280" w:lineRule="exact"/>
        <w:ind w:left="482" w:hanging="482"/>
        <w:rPr>
          <w:rFonts w:ascii="標楷體" w:eastAsia="標楷體" w:hAnsi="標楷體" w:cs="新細明體"/>
          <w:bCs/>
          <w:color w:val="000000"/>
          <w:kern w:val="0"/>
          <w:sz w:val="28"/>
          <w:szCs w:val="28"/>
        </w:rPr>
      </w:pPr>
      <w:r>
        <w:rPr>
          <w:rFonts w:ascii="標楷體" w:eastAsia="標楷體" w:hAnsi="標楷體" w:cs="新細明體"/>
          <w:bCs/>
          <w:color w:val="000000"/>
          <w:kern w:val="0"/>
          <w:sz w:val="28"/>
          <w:szCs w:val="28"/>
        </w:rPr>
        <w:t>受訪人：健保署 陳亮妤署長</w:t>
      </w:r>
    </w:p>
    <w:p w:rsidR="0042416D" w:rsidRDefault="00F15B97">
      <w:pPr>
        <w:pStyle w:val="a3"/>
        <w:numPr>
          <w:ilvl w:val="0"/>
          <w:numId w:val="1"/>
        </w:numPr>
        <w:spacing w:after="0" w:line="280" w:lineRule="exact"/>
        <w:ind w:left="482" w:hanging="482"/>
        <w:rPr>
          <w:rFonts w:ascii="標楷體" w:eastAsia="標楷體" w:hAnsi="標楷體" w:cs="新細明體"/>
          <w:bCs/>
          <w:color w:val="000000"/>
          <w:kern w:val="0"/>
          <w:sz w:val="28"/>
          <w:szCs w:val="28"/>
        </w:rPr>
      </w:pPr>
      <w:r>
        <w:rPr>
          <w:rFonts w:ascii="標楷體" w:eastAsia="標楷體" w:hAnsi="標楷體" w:cs="新細明體"/>
          <w:bCs/>
          <w:color w:val="000000"/>
          <w:kern w:val="0"/>
          <w:sz w:val="28"/>
          <w:szCs w:val="28"/>
        </w:rPr>
        <w:t>採訪人員：范秀郁 採訪主任</w:t>
      </w:r>
    </w:p>
    <w:p w:rsidR="0042416D" w:rsidRDefault="00F15B97">
      <w:pPr>
        <w:pStyle w:val="a3"/>
        <w:numPr>
          <w:ilvl w:val="0"/>
          <w:numId w:val="1"/>
        </w:numPr>
        <w:spacing w:after="0" w:line="280" w:lineRule="exact"/>
        <w:ind w:left="482" w:hanging="482"/>
      </w:pPr>
      <w:r>
        <w:rPr>
          <w:rFonts w:ascii="標楷體" w:eastAsia="標楷體" w:hAnsi="標楷體" w:cs="新細明體"/>
          <w:bCs/>
          <w:color w:val="000000"/>
          <w:kern w:val="0"/>
          <w:sz w:val="28"/>
          <w:szCs w:val="28"/>
        </w:rPr>
        <w:t>採訪地點：本署17樓貴賓室</w:t>
      </w:r>
    </w:p>
    <w:p w:rsidR="0042416D" w:rsidRDefault="00F15B97">
      <w:pPr>
        <w:pStyle w:val="a3"/>
        <w:numPr>
          <w:ilvl w:val="0"/>
          <w:numId w:val="1"/>
        </w:numPr>
        <w:spacing w:after="0" w:line="280" w:lineRule="exact"/>
        <w:ind w:left="482" w:right="-1044" w:hanging="482"/>
      </w:pPr>
      <w:r>
        <w:rPr>
          <w:rFonts w:ascii="標楷體" w:eastAsia="標楷體" w:hAnsi="標楷體" w:cs="新細明體"/>
          <w:bCs/>
          <w:color w:val="000000"/>
          <w:kern w:val="0"/>
          <w:sz w:val="28"/>
          <w:szCs w:val="28"/>
        </w:rPr>
        <w:t>採訪時間：115年6月9日 (</w:t>
      </w:r>
      <w:r>
        <w:rPr>
          <w:rFonts w:ascii="標楷體" w:eastAsia="標楷體" w:hAnsi="標楷體" w:cs="新細明體"/>
          <w:bCs/>
          <w:kern w:val="0"/>
          <w:sz w:val="28"/>
          <w:szCs w:val="28"/>
        </w:rPr>
        <w:t>二)14:00-15:00 (預計採訪1小時)</w:t>
      </w:r>
    </w:p>
    <w:p w:rsidR="0042416D" w:rsidRDefault="00F15B97">
      <w:pPr>
        <w:pStyle w:val="a3"/>
        <w:numPr>
          <w:ilvl w:val="0"/>
          <w:numId w:val="1"/>
        </w:numPr>
        <w:spacing w:line="280" w:lineRule="exact"/>
        <w:ind w:left="482" w:hanging="482"/>
      </w:pPr>
      <w:r>
        <w:rPr>
          <w:rFonts w:ascii="標楷體" w:eastAsia="標楷體" w:hAnsi="標楷體" w:cs="新細明體"/>
          <w:bCs/>
          <w:kern w:val="0"/>
          <w:sz w:val="28"/>
          <w:szCs w:val="28"/>
        </w:rPr>
        <w:t>主題：健保政策制定與決策、</w:t>
      </w:r>
      <w:r>
        <w:rPr>
          <w:rFonts w:ascii="標楷體" w:eastAsia="標楷體" w:hAnsi="標楷體"/>
          <w:sz w:val="28"/>
          <w:szCs w:val="28"/>
        </w:rPr>
        <w:t>888計畫成效與挑戰、復健病房試辦計畫及個人經驗分享</w:t>
      </w:r>
    </w:p>
    <w:p w:rsidR="0042416D" w:rsidRDefault="00F15B97">
      <w:pPr>
        <w:spacing w:line="220" w:lineRule="exact"/>
        <w:jc w:val="center"/>
        <w:rPr>
          <w:rFonts w:ascii="標楷體" w:eastAsia="標楷體" w:hAnsi="標楷體" w:cs="新細明體"/>
          <w:bCs/>
          <w:color w:val="000000"/>
          <w:kern w:val="0"/>
        </w:rPr>
      </w:pPr>
      <w:r>
        <w:rPr>
          <w:rFonts w:ascii="標楷體" w:eastAsia="標楷體" w:hAnsi="標楷體" w:cs="新細明體"/>
          <w:bCs/>
          <w:color w:val="000000"/>
          <w:kern w:val="0"/>
        </w:rPr>
        <w:t>------------------------------------------------------------------------</w:t>
      </w:r>
    </w:p>
    <w:p w:rsidR="0042416D" w:rsidRDefault="00F15B97" w:rsidP="0043679D">
      <w:pPr>
        <w:pStyle w:val="Default"/>
        <w:numPr>
          <w:ilvl w:val="0"/>
          <w:numId w:val="2"/>
        </w:numPr>
        <w:spacing w:line="280" w:lineRule="exact"/>
        <w:ind w:left="283" w:hanging="425"/>
      </w:pPr>
      <w:r>
        <w:rPr>
          <w:rFonts w:ascii="標楷體" w:eastAsia="標楷體" w:hAnsi="標楷體" w:cs="微軟正黑體"/>
          <w:b/>
          <w:sz w:val="28"/>
          <w:szCs w:val="28"/>
        </w:rPr>
        <w:t>訪題：</w:t>
      </w:r>
    </w:p>
    <w:p w:rsidR="0042416D" w:rsidRDefault="00F15B97">
      <w:pPr>
        <w:numPr>
          <w:ilvl w:val="0"/>
          <w:numId w:val="3"/>
        </w:numPr>
        <w:tabs>
          <w:tab w:val="left" w:pos="1476"/>
        </w:tabs>
        <w:spacing w:line="220" w:lineRule="exact"/>
        <w:rPr>
          <w:rFonts w:ascii="標楷體" w:eastAsia="標楷體" w:hAnsi="標楷體"/>
          <w:sz w:val="24"/>
          <w:lang w:eastAsia="zh-TW"/>
        </w:rPr>
      </w:pPr>
      <w:r>
        <w:rPr>
          <w:rFonts w:ascii="標楷體" w:eastAsia="標楷體" w:hAnsi="標楷體"/>
          <w:sz w:val="24"/>
          <w:lang w:eastAsia="zh-TW"/>
        </w:rPr>
        <w:t>最年輕的署長-----從精神科到健保掌舵</w:t>
      </w:r>
    </w:p>
    <w:p w:rsidR="0042416D" w:rsidRDefault="00F15B97">
      <w:pPr>
        <w:numPr>
          <w:ilvl w:val="0"/>
          <w:numId w:val="4"/>
        </w:numPr>
        <w:tabs>
          <w:tab w:val="left" w:pos="1476"/>
        </w:tabs>
        <w:spacing w:line="220" w:lineRule="exact"/>
        <w:ind w:left="709" w:hanging="570"/>
      </w:pPr>
      <w:r>
        <w:rPr>
          <w:rFonts w:ascii="標楷體" w:eastAsia="標楷體" w:hAnsi="標楷體"/>
          <w:sz w:val="24"/>
          <w:lang w:eastAsia="zh-TW"/>
        </w:rPr>
        <w:t>您是最年輕的署長，從臨床精神科、成癮防治，一路走到心理健康政策、再到健保署長，能否了解您這一路不同職涯的轉折與期許。</w:t>
      </w:r>
      <w:r>
        <w:rPr>
          <w:rFonts w:ascii="標楷體" w:eastAsia="標楷體" w:hAnsi="標楷體"/>
          <w:color w:val="FF0000"/>
          <w:sz w:val="24"/>
          <w:lang w:eastAsia="zh-TW"/>
        </w:rPr>
        <w:t>(企劃組)</w:t>
      </w:r>
    </w:p>
    <w:p w:rsidR="0042416D" w:rsidRDefault="00F15B97">
      <w:pPr>
        <w:numPr>
          <w:ilvl w:val="0"/>
          <w:numId w:val="4"/>
        </w:numPr>
        <w:tabs>
          <w:tab w:val="left" w:pos="1476"/>
        </w:tabs>
        <w:spacing w:line="220" w:lineRule="exact"/>
        <w:ind w:left="709" w:hanging="570"/>
      </w:pPr>
      <w:r>
        <w:rPr>
          <w:rFonts w:ascii="標楷體" w:eastAsia="標楷體" w:hAnsi="標楷體"/>
          <w:sz w:val="24"/>
          <w:lang w:eastAsia="zh-TW"/>
        </w:rPr>
        <w:t>精神科醫師相當重視「整體的人」而非單一疾病，是否這全人觀點會影響您在健保制度的政策訂定與執行考量，在這政策領域會有不同的思考與決策?</w:t>
      </w:r>
      <w:r>
        <w:rPr>
          <w:rFonts w:ascii="標楷體" w:eastAsia="標楷體" w:hAnsi="標楷體"/>
          <w:color w:val="FF0000"/>
          <w:sz w:val="24"/>
          <w:lang w:eastAsia="zh-TW"/>
        </w:rPr>
        <w:t xml:space="preserve"> (醫務管理組、醫審及藥材組、企劃組)</w:t>
      </w:r>
    </w:p>
    <w:p w:rsidR="0042416D" w:rsidRDefault="00F15B97">
      <w:pPr>
        <w:numPr>
          <w:ilvl w:val="0"/>
          <w:numId w:val="4"/>
        </w:numPr>
        <w:tabs>
          <w:tab w:val="left" w:pos="1476"/>
        </w:tabs>
        <w:spacing w:line="220" w:lineRule="exact"/>
        <w:ind w:left="709" w:hanging="570"/>
      </w:pPr>
      <w:r>
        <w:rPr>
          <w:rFonts w:ascii="標楷體" w:eastAsia="標楷體" w:hAnsi="標楷體"/>
          <w:sz w:val="24"/>
          <w:lang w:eastAsia="zh-TW"/>
        </w:rPr>
        <w:t>以您精神科醫師的背景，在制訂與執行健保政策時，是否會是更好的溝通橋樑。</w:t>
      </w:r>
      <w:r>
        <w:rPr>
          <w:rFonts w:ascii="標楷體" w:eastAsia="標楷體" w:hAnsi="標楷體"/>
          <w:color w:val="FF0000"/>
          <w:sz w:val="24"/>
          <w:lang w:eastAsia="zh-TW"/>
        </w:rPr>
        <w:t>(醫務管理組、醫審及藥材組、企劃組)</w:t>
      </w:r>
    </w:p>
    <w:p w:rsidR="0042416D" w:rsidRDefault="00F15B97">
      <w:pPr>
        <w:numPr>
          <w:ilvl w:val="0"/>
          <w:numId w:val="5"/>
        </w:numPr>
        <w:tabs>
          <w:tab w:val="left" w:pos="1476"/>
        </w:tabs>
        <w:spacing w:line="220" w:lineRule="exact"/>
        <w:rPr>
          <w:rFonts w:ascii="標楷體" w:eastAsia="標楷體" w:hAnsi="標楷體"/>
          <w:sz w:val="24"/>
          <w:lang w:eastAsia="zh-TW"/>
        </w:rPr>
      </w:pPr>
      <w:r>
        <w:rPr>
          <w:rFonts w:ascii="標楷體" w:eastAsia="標楷體" w:hAnsi="標楷體"/>
          <w:sz w:val="24"/>
          <w:lang w:eastAsia="zh-TW"/>
        </w:rPr>
        <w:t>健保政策推行---888計畫推行相關政策的成效與挑戰</w:t>
      </w:r>
    </w:p>
    <w:p w:rsidR="0042416D" w:rsidRDefault="00F15B97">
      <w:pPr>
        <w:numPr>
          <w:ilvl w:val="0"/>
          <w:numId w:val="6"/>
        </w:numPr>
        <w:tabs>
          <w:tab w:val="left" w:pos="1476"/>
        </w:tabs>
        <w:spacing w:line="220" w:lineRule="exact"/>
        <w:ind w:left="709" w:hanging="567"/>
      </w:pPr>
      <w:r>
        <w:rPr>
          <w:rFonts w:ascii="標楷體" w:eastAsia="標楷體" w:hAnsi="標楷體"/>
          <w:sz w:val="24"/>
          <w:lang w:eastAsia="zh-TW"/>
        </w:rPr>
        <w:t>今年健保經費將首度突破兆元(健保總額9,883億元加公務預算後的醫療支出)，在政策主軸中，舉凡癌症篩檢、慢性病管理乃至長照，是否形成執行壓力，要如何在政策與財源方面做調整。</w:t>
      </w:r>
      <w:r>
        <w:rPr>
          <w:rFonts w:ascii="標楷體" w:eastAsia="標楷體" w:hAnsi="標楷體"/>
          <w:color w:val="FF0000"/>
          <w:sz w:val="24"/>
          <w:lang w:eastAsia="zh-TW"/>
        </w:rPr>
        <w:t>(財務組、承保組、醫務管理組、醫審及藥材組)</w:t>
      </w:r>
    </w:p>
    <w:p w:rsidR="0042416D" w:rsidRDefault="00F15B97">
      <w:pPr>
        <w:numPr>
          <w:ilvl w:val="0"/>
          <w:numId w:val="6"/>
        </w:numPr>
        <w:tabs>
          <w:tab w:val="left" w:pos="1476"/>
        </w:tabs>
        <w:spacing w:line="220" w:lineRule="exact"/>
        <w:ind w:left="709" w:hanging="567"/>
      </w:pPr>
      <w:r>
        <w:rPr>
          <w:rFonts w:ascii="標楷體" w:eastAsia="標楷體" w:hAnsi="標楷體"/>
          <w:sz w:val="24"/>
          <w:lang w:eastAsia="zh-TW"/>
        </w:rPr>
        <w:t>日前也為解決急診雍塞問題，實施在宅急症照護(ACAH)，經過一完整季度後是否有數據顯示成效，事實上，這是另類醫療網的互助互補，也是分層醫療逐步落實，應該是值得鼓勵的政策，在數據資料以外，是否會在政策檢討之餘，有其他類似的政策推動落實。</w:t>
      </w:r>
      <w:r>
        <w:rPr>
          <w:rFonts w:ascii="標楷體" w:eastAsia="標楷體" w:hAnsi="標楷體"/>
          <w:color w:val="FF0000"/>
          <w:sz w:val="24"/>
          <w:lang w:eastAsia="zh-TW"/>
        </w:rPr>
        <w:t>(醫務管理組)</w:t>
      </w:r>
    </w:p>
    <w:p w:rsidR="0042416D" w:rsidRDefault="00F15B97">
      <w:pPr>
        <w:numPr>
          <w:ilvl w:val="0"/>
          <w:numId w:val="6"/>
        </w:numPr>
        <w:tabs>
          <w:tab w:val="left" w:pos="1476"/>
        </w:tabs>
        <w:spacing w:line="220" w:lineRule="exact"/>
        <w:ind w:left="709" w:hanging="567"/>
      </w:pPr>
      <w:r>
        <w:rPr>
          <w:rFonts w:ascii="標楷體" w:eastAsia="標楷體" w:hAnsi="標楷體"/>
          <w:sz w:val="24"/>
          <w:lang w:eastAsia="zh-TW"/>
        </w:rPr>
        <w:t>由原來既有「定量免疫法」糞便潛血(FIT)，加上今年推出的胃幽門螺旋桿菌檢查，「雙糞便檢查」，便民及預防檢查是落實醫療網功能，是否已有數據統計相關資料，做政策成效檢定。</w:t>
      </w:r>
      <w:r>
        <w:rPr>
          <w:rFonts w:ascii="標楷體" w:eastAsia="標楷體" w:hAnsi="標楷體"/>
          <w:color w:val="FF0000"/>
          <w:sz w:val="24"/>
          <w:lang w:eastAsia="zh-TW"/>
        </w:rPr>
        <w:t>(醫務管理組)</w:t>
      </w:r>
    </w:p>
    <w:p w:rsidR="0042416D" w:rsidRDefault="00F15B97">
      <w:pPr>
        <w:numPr>
          <w:ilvl w:val="0"/>
          <w:numId w:val="7"/>
        </w:numPr>
        <w:tabs>
          <w:tab w:val="left" w:pos="1476"/>
        </w:tabs>
        <w:spacing w:line="220" w:lineRule="exact"/>
        <w:rPr>
          <w:rFonts w:ascii="標楷體" w:eastAsia="標楷體" w:hAnsi="標楷體"/>
          <w:sz w:val="24"/>
          <w:lang w:eastAsia="zh-TW"/>
        </w:rPr>
      </w:pPr>
      <w:r>
        <w:rPr>
          <w:rFonts w:ascii="標楷體" w:eastAsia="標楷體" w:hAnsi="標楷體"/>
          <w:sz w:val="24"/>
          <w:lang w:eastAsia="zh-TW"/>
        </w:rPr>
        <w:t>醫照整合與長照銜接</w:t>
      </w:r>
    </w:p>
    <w:p w:rsidR="0042416D" w:rsidRDefault="00F15B97">
      <w:pPr>
        <w:numPr>
          <w:ilvl w:val="0"/>
          <w:numId w:val="8"/>
        </w:numPr>
        <w:tabs>
          <w:tab w:val="left" w:pos="1476"/>
        </w:tabs>
        <w:spacing w:line="220" w:lineRule="exact"/>
        <w:ind w:left="709" w:hanging="567"/>
      </w:pPr>
      <w:r>
        <w:rPr>
          <w:rFonts w:ascii="標楷體" w:eastAsia="標楷體" w:hAnsi="標楷體"/>
          <w:sz w:val="24"/>
          <w:lang w:eastAsia="zh-TW"/>
        </w:rPr>
        <w:t>署長曾提出在今年第一季在北、中、南及東各擇一家醫院試辦「復健病房」，參考日本「恢復其復健」模式，目前試辦成效評估為何?新北市醫院及基層有機會參與?</w:t>
      </w:r>
      <w:r>
        <w:rPr>
          <w:rFonts w:ascii="標楷體" w:eastAsia="標楷體" w:hAnsi="標楷體"/>
          <w:color w:val="FF0000"/>
          <w:sz w:val="24"/>
          <w:lang w:eastAsia="zh-TW"/>
        </w:rPr>
        <w:t xml:space="preserve"> (醫務管理組)</w:t>
      </w:r>
    </w:p>
    <w:p w:rsidR="0042416D" w:rsidRDefault="00F15B97">
      <w:pPr>
        <w:numPr>
          <w:ilvl w:val="0"/>
          <w:numId w:val="8"/>
        </w:numPr>
        <w:tabs>
          <w:tab w:val="left" w:pos="1476"/>
        </w:tabs>
        <w:spacing w:line="220" w:lineRule="exact"/>
        <w:ind w:left="709" w:hanging="567"/>
      </w:pPr>
      <w:r>
        <w:rPr>
          <w:rFonts w:ascii="標楷體" w:eastAsia="標楷體" w:hAnsi="標楷體"/>
          <w:sz w:val="24"/>
          <w:lang w:eastAsia="zh-TW"/>
        </w:rPr>
        <w:t>長照3.0將分階段上路，健保與長照似乎仍是兩套系統，未來是否將進行深度整合?</w:t>
      </w:r>
      <w:r>
        <w:rPr>
          <w:rFonts w:ascii="標楷體" w:eastAsia="標楷體" w:hAnsi="標楷體"/>
          <w:color w:val="FF0000"/>
          <w:sz w:val="24"/>
          <w:lang w:eastAsia="zh-TW"/>
        </w:rPr>
        <w:t xml:space="preserve"> (醫務管理組)</w:t>
      </w:r>
    </w:p>
    <w:p w:rsidR="0042416D" w:rsidRDefault="00F15B97">
      <w:pPr>
        <w:numPr>
          <w:ilvl w:val="0"/>
          <w:numId w:val="9"/>
        </w:numPr>
        <w:tabs>
          <w:tab w:val="left" w:pos="1476"/>
        </w:tabs>
        <w:spacing w:line="220" w:lineRule="exact"/>
        <w:rPr>
          <w:rFonts w:ascii="標楷體" w:eastAsia="標楷體" w:hAnsi="標楷體"/>
          <w:sz w:val="24"/>
          <w:lang w:eastAsia="zh-TW"/>
        </w:rPr>
      </w:pPr>
      <w:r>
        <w:rPr>
          <w:rFonts w:ascii="標楷體" w:eastAsia="標楷體" w:hAnsi="標楷體"/>
          <w:sz w:val="24"/>
          <w:lang w:eastAsia="zh-TW"/>
        </w:rPr>
        <w:t>署長個人經驗分享</w:t>
      </w:r>
    </w:p>
    <w:p w:rsidR="0042416D" w:rsidRDefault="00F15B97">
      <w:pPr>
        <w:numPr>
          <w:ilvl w:val="0"/>
          <w:numId w:val="10"/>
        </w:numPr>
        <w:tabs>
          <w:tab w:val="left" w:pos="1476"/>
        </w:tabs>
        <w:spacing w:line="220" w:lineRule="exact"/>
        <w:ind w:left="709" w:hanging="567"/>
      </w:pPr>
      <w:r>
        <w:rPr>
          <w:rFonts w:ascii="標楷體" w:eastAsia="標楷體" w:hAnsi="標楷體"/>
          <w:sz w:val="24"/>
          <w:lang w:eastAsia="zh-TW"/>
        </w:rPr>
        <w:t>從署長資歷中，在工作崗位上認真職守有目共睹，在獲得台灣成癮醫學卓越成就與台北市醫師公會杏林獎等相關的工作經歷上，能否說明當時的歷程與投入。</w:t>
      </w:r>
      <w:r>
        <w:rPr>
          <w:rFonts w:ascii="標楷體" w:eastAsia="標楷體" w:hAnsi="標楷體"/>
          <w:color w:val="FF0000"/>
          <w:sz w:val="24"/>
          <w:lang w:eastAsia="zh-TW"/>
        </w:rPr>
        <w:t>(企劃組)</w:t>
      </w:r>
    </w:p>
    <w:p w:rsidR="0042416D" w:rsidRDefault="00F15B97">
      <w:pPr>
        <w:numPr>
          <w:ilvl w:val="0"/>
          <w:numId w:val="10"/>
        </w:numPr>
        <w:tabs>
          <w:tab w:val="left" w:pos="1476"/>
        </w:tabs>
        <w:spacing w:line="220" w:lineRule="exact"/>
        <w:ind w:left="709" w:hanging="567"/>
      </w:pPr>
      <w:r>
        <w:rPr>
          <w:rFonts w:ascii="標楷體" w:eastAsia="標楷體" w:hAnsi="標楷體"/>
          <w:sz w:val="24"/>
          <w:lang w:eastAsia="zh-TW"/>
        </w:rPr>
        <w:t>按照慣例，與公會會員們分享署長個人工作之外的休閒，重要的是如何在工作與休閒如何取得平衡。</w:t>
      </w:r>
      <w:r>
        <w:rPr>
          <w:rFonts w:ascii="標楷體" w:eastAsia="標楷體" w:hAnsi="標楷體"/>
          <w:color w:val="FF0000"/>
          <w:sz w:val="24"/>
          <w:lang w:eastAsia="zh-TW"/>
        </w:rPr>
        <w:t>(企劃組)</w:t>
      </w:r>
    </w:p>
    <w:p w:rsidR="0042416D" w:rsidRPr="00B66236" w:rsidRDefault="00F15B97" w:rsidP="00B66236">
      <w:pPr>
        <w:pStyle w:val="Default"/>
        <w:numPr>
          <w:ilvl w:val="0"/>
          <w:numId w:val="2"/>
        </w:numPr>
        <w:adjustRightInd w:val="0"/>
        <w:snapToGrid w:val="0"/>
        <w:spacing w:line="400" w:lineRule="exact"/>
        <w:ind w:left="283" w:hanging="425"/>
        <w:jc w:val="both"/>
        <w:rPr>
          <w:rFonts w:ascii="Times New Roman" w:eastAsia="標楷體" w:hAnsi="Times New Roman" w:cs="Times New Roman"/>
          <w:b/>
          <w:sz w:val="28"/>
          <w:szCs w:val="28"/>
        </w:rPr>
      </w:pPr>
      <w:r w:rsidRPr="00B66236">
        <w:rPr>
          <w:rFonts w:ascii="Times New Roman" w:eastAsia="標楷體" w:hAnsi="Times New Roman" w:cs="Times New Roman"/>
          <w:b/>
          <w:sz w:val="28"/>
          <w:szCs w:val="28"/>
        </w:rPr>
        <w:lastRenderedPageBreak/>
        <w:t>擬答：</w:t>
      </w:r>
    </w:p>
    <w:p w:rsidR="0042416D" w:rsidRPr="00C81B60" w:rsidRDefault="00F15B97" w:rsidP="00C81B60">
      <w:pPr>
        <w:pStyle w:val="a3"/>
        <w:numPr>
          <w:ilvl w:val="0"/>
          <w:numId w:val="18"/>
        </w:numPr>
        <w:adjustRightInd w:val="0"/>
        <w:snapToGrid w:val="0"/>
        <w:spacing w:after="0" w:line="400" w:lineRule="exact"/>
        <w:jc w:val="both"/>
        <w:rPr>
          <w:rFonts w:ascii="Times New Roman" w:eastAsia="標楷體" w:hAnsi="Times New Roman"/>
          <w:sz w:val="28"/>
          <w:szCs w:val="28"/>
        </w:rPr>
      </w:pPr>
      <w:r w:rsidRPr="00C81B60">
        <w:rPr>
          <w:rFonts w:ascii="Times New Roman" w:eastAsia="標楷體" w:hAnsi="Times New Roman"/>
          <w:sz w:val="28"/>
          <w:szCs w:val="28"/>
        </w:rPr>
        <w:t>訪題一</w:t>
      </w:r>
      <w:r w:rsidRPr="00C81B60">
        <w:rPr>
          <w:rFonts w:ascii="Times New Roman" w:eastAsia="標楷體" w:hAnsi="Times New Roman"/>
          <w:sz w:val="28"/>
          <w:szCs w:val="28"/>
        </w:rPr>
        <w:t>:</w:t>
      </w:r>
      <w:r w:rsidRPr="00C81B60">
        <w:rPr>
          <w:rFonts w:ascii="Times New Roman" w:eastAsia="標楷體" w:hAnsi="Times New Roman"/>
          <w:sz w:val="28"/>
          <w:szCs w:val="28"/>
        </w:rPr>
        <w:t>最年輕的署長</w:t>
      </w:r>
      <w:r w:rsidRPr="00C81B60">
        <w:rPr>
          <w:rFonts w:ascii="Times New Roman" w:eastAsia="標楷體" w:hAnsi="Times New Roman"/>
          <w:sz w:val="28"/>
          <w:szCs w:val="28"/>
        </w:rPr>
        <w:t>-----</w:t>
      </w:r>
      <w:r w:rsidRPr="00C81B60">
        <w:rPr>
          <w:rFonts w:ascii="Times New Roman" w:eastAsia="標楷體" w:hAnsi="Times New Roman"/>
          <w:sz w:val="28"/>
          <w:szCs w:val="28"/>
        </w:rPr>
        <w:t>從精神科到健保掌舵</w:t>
      </w:r>
    </w:p>
    <w:p w:rsidR="0042416D" w:rsidRPr="00C81B60" w:rsidRDefault="00C81B60" w:rsidP="00C81B60">
      <w:pPr>
        <w:pStyle w:val="a3"/>
        <w:adjustRightInd w:val="0"/>
        <w:snapToGrid w:val="0"/>
        <w:spacing w:after="0" w:line="400" w:lineRule="exact"/>
        <w:ind w:leftChars="-28" w:left="784" w:hangingChars="301" w:hanging="843"/>
        <w:jc w:val="both"/>
        <w:rPr>
          <w:rFonts w:ascii="Times New Roman" w:eastAsia="標楷體" w:hAnsi="Times New Roman"/>
          <w:sz w:val="28"/>
          <w:szCs w:val="28"/>
        </w:rPr>
      </w:pPr>
      <w:r w:rsidRPr="00C81B60">
        <w:rPr>
          <w:rFonts w:ascii="Times New Roman" w:eastAsia="標楷體" w:hAnsi="Times New Roman"/>
          <w:sz w:val="28"/>
          <w:szCs w:val="28"/>
        </w:rPr>
        <w:t>（二）</w:t>
      </w:r>
      <w:r w:rsidR="00F15B97" w:rsidRPr="00C81B60">
        <w:rPr>
          <w:rFonts w:ascii="Times New Roman" w:eastAsia="標楷體" w:hAnsi="Times New Roman"/>
          <w:sz w:val="28"/>
          <w:szCs w:val="28"/>
        </w:rPr>
        <w:t>精神科醫師相當重視「整體的人」而非單一疾病，是否這全人觀點會影響您在健保制度的政策訂定與執行考量，在這政策領域會有不同的思考與決策</w:t>
      </w:r>
      <w:r w:rsidR="00F15B97" w:rsidRPr="00C81B60">
        <w:rPr>
          <w:rFonts w:ascii="Times New Roman" w:eastAsia="標楷體" w:hAnsi="Times New Roman"/>
          <w:sz w:val="28"/>
          <w:szCs w:val="28"/>
        </w:rPr>
        <w:t xml:space="preserve">? </w:t>
      </w:r>
      <w:r w:rsidR="00F15B97" w:rsidRPr="00C81B60">
        <w:rPr>
          <w:rFonts w:ascii="Times New Roman" w:eastAsia="標楷體" w:hAnsi="Times New Roman"/>
          <w:color w:val="FF0000"/>
          <w:sz w:val="28"/>
          <w:szCs w:val="28"/>
        </w:rPr>
        <w:t>(</w:t>
      </w:r>
      <w:r w:rsidR="00F15B97" w:rsidRPr="00C81B60">
        <w:rPr>
          <w:rFonts w:ascii="Times New Roman" w:eastAsia="標楷體" w:hAnsi="Times New Roman"/>
          <w:color w:val="FF0000"/>
          <w:sz w:val="28"/>
          <w:szCs w:val="28"/>
        </w:rPr>
        <w:t>醫務管理組、</w:t>
      </w:r>
      <w:r w:rsidR="00F15B97" w:rsidRPr="00C81B60">
        <w:rPr>
          <w:rFonts w:ascii="Times New Roman" w:eastAsia="標楷體" w:hAnsi="Times New Roman"/>
          <w:color w:val="FF0000"/>
          <w:sz w:val="28"/>
          <w:szCs w:val="28"/>
          <w:highlight w:val="yellow"/>
        </w:rPr>
        <w:t>醫審及藥材組</w:t>
      </w:r>
      <w:r w:rsidR="00F15B97" w:rsidRPr="00C81B60">
        <w:rPr>
          <w:rFonts w:ascii="Times New Roman" w:eastAsia="標楷體" w:hAnsi="Times New Roman"/>
          <w:color w:val="FF0000"/>
          <w:sz w:val="28"/>
          <w:szCs w:val="28"/>
        </w:rPr>
        <w:t>、企劃組</w:t>
      </w:r>
      <w:r w:rsidR="00F15B97" w:rsidRPr="00C81B60">
        <w:rPr>
          <w:rFonts w:ascii="Times New Roman" w:eastAsia="標楷體" w:hAnsi="Times New Roman"/>
          <w:color w:val="FF0000"/>
          <w:sz w:val="28"/>
          <w:szCs w:val="28"/>
        </w:rPr>
        <w:t>)</w:t>
      </w:r>
    </w:p>
    <w:p w:rsidR="00DB20D1" w:rsidRPr="00C81B60" w:rsidRDefault="00DB20D1" w:rsidP="00C81B60">
      <w:pPr>
        <w:pStyle w:val="Default"/>
        <w:adjustRightInd w:val="0"/>
        <w:snapToGrid w:val="0"/>
        <w:spacing w:before="100" w:beforeAutospacing="1" w:line="400" w:lineRule="exact"/>
        <w:ind w:leftChars="29" w:left="61"/>
        <w:jc w:val="both"/>
        <w:rPr>
          <w:rFonts w:ascii="Times New Roman" w:eastAsia="標楷體" w:hAnsi="Times New Roman" w:cs="Times New Roman"/>
          <w:sz w:val="28"/>
          <w:szCs w:val="28"/>
        </w:rPr>
      </w:pPr>
      <w:r w:rsidRPr="00C81B60">
        <w:rPr>
          <w:rFonts w:ascii="Times New Roman" w:eastAsia="標楷體" w:hAnsi="Times New Roman" w:cs="Times New Roman"/>
          <w:sz w:val="28"/>
          <w:szCs w:val="28"/>
        </w:rPr>
        <w:t>本組擬答：</w:t>
      </w:r>
    </w:p>
    <w:p w:rsidR="0042416D" w:rsidRPr="00C81B60" w:rsidRDefault="00F15B97" w:rsidP="00C81B60">
      <w:pPr>
        <w:pStyle w:val="a3"/>
        <w:numPr>
          <w:ilvl w:val="0"/>
          <w:numId w:val="19"/>
        </w:numPr>
        <w:tabs>
          <w:tab w:val="left" w:pos="1476"/>
        </w:tabs>
        <w:adjustRightInd w:val="0"/>
        <w:snapToGrid w:val="0"/>
        <w:spacing w:after="0" w:line="400" w:lineRule="exact"/>
        <w:jc w:val="both"/>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本署整合病人完整照護歷程，如</w:t>
      </w:r>
      <w:r w:rsidR="008E167D" w:rsidRPr="00C81B60">
        <w:rPr>
          <w:rFonts w:ascii="Times New Roman" w:eastAsia="標楷體" w:hAnsi="Times New Roman"/>
          <w:sz w:val="28"/>
          <w:szCs w:val="28"/>
          <w:shd w:val="clear" w:color="auto" w:fill="FBE4D5" w:themeFill="accent2" w:themeFillTint="33"/>
        </w:rPr>
        <w:t>整合國民健康署資料，</w:t>
      </w:r>
      <w:r w:rsidRPr="00C81B60">
        <w:rPr>
          <w:rFonts w:ascii="Times New Roman" w:eastAsia="標楷體" w:hAnsi="Times New Roman"/>
          <w:sz w:val="28"/>
          <w:szCs w:val="28"/>
          <w:shd w:val="clear" w:color="auto" w:fill="FBE4D5" w:themeFill="accent2" w:themeFillTint="33"/>
        </w:rPr>
        <w:t>串聯篩檢、診斷、到治療資料，檢視病人的照護情形。</w:t>
      </w:r>
      <w:r w:rsidR="0043679D" w:rsidRPr="00C81B60">
        <w:rPr>
          <w:rFonts w:ascii="Times New Roman" w:eastAsia="標楷體" w:hAnsi="Times New Roman"/>
          <w:sz w:val="28"/>
          <w:szCs w:val="28"/>
          <w:shd w:val="clear" w:color="auto" w:fill="FBE4D5" w:themeFill="accent2" w:themeFillTint="33"/>
        </w:rPr>
        <w:t>將「整體的人」觀點轉化為健保政策。</w:t>
      </w:r>
      <w:r w:rsidRPr="00C81B60">
        <w:rPr>
          <w:rFonts w:ascii="Times New Roman" w:eastAsia="標楷體" w:hAnsi="Times New Roman"/>
          <w:sz w:val="28"/>
          <w:szCs w:val="28"/>
          <w:shd w:val="clear" w:color="auto" w:fill="FBE4D5" w:themeFill="accent2" w:themeFillTint="33"/>
        </w:rPr>
        <w:t>以大腸癌為例，本署整合國健署與健保就醫資料，監測個案完整就醫歷程。如</w:t>
      </w:r>
      <w:r w:rsidRPr="00C81B60">
        <w:rPr>
          <w:rFonts w:ascii="Times New Roman" w:eastAsia="標楷體" w:hAnsi="Times New Roman"/>
          <w:sz w:val="28"/>
          <w:szCs w:val="28"/>
          <w:shd w:val="clear" w:color="auto" w:fill="FBE4D5" w:themeFill="accent2" w:themeFillTint="33"/>
        </w:rPr>
        <w:t>113</w:t>
      </w:r>
      <w:r w:rsidRPr="00C81B60">
        <w:rPr>
          <w:rFonts w:ascii="Times New Roman" w:eastAsia="標楷體" w:hAnsi="Times New Roman"/>
          <w:sz w:val="28"/>
          <w:szCs w:val="28"/>
          <w:shd w:val="clear" w:color="auto" w:fill="FBE4D5" w:themeFill="accent2" w:themeFillTint="33"/>
        </w:rPr>
        <w:t>年，我們發現有</w:t>
      </w:r>
      <w:r w:rsidRPr="00C81B60">
        <w:rPr>
          <w:rFonts w:ascii="Times New Roman" w:eastAsia="標楷體" w:hAnsi="Times New Roman"/>
          <w:sz w:val="28"/>
          <w:szCs w:val="28"/>
          <w:shd w:val="clear" w:color="auto" w:fill="FBE4D5" w:themeFill="accent2" w:themeFillTint="33"/>
        </w:rPr>
        <w:t xml:space="preserve"> 22% </w:t>
      </w:r>
      <w:r w:rsidRPr="00C81B60">
        <w:rPr>
          <w:rFonts w:ascii="Times New Roman" w:eastAsia="標楷體" w:hAnsi="Times New Roman"/>
          <w:sz w:val="28"/>
          <w:szCs w:val="28"/>
          <w:shd w:val="clear" w:color="auto" w:fill="FBE4D5" w:themeFill="accent2" w:themeFillTint="33"/>
        </w:rPr>
        <w:t>的篩陽個案未做大腸鏡檢查確診，以及</w:t>
      </w:r>
      <w:r w:rsidRPr="00C81B60">
        <w:rPr>
          <w:rFonts w:ascii="Times New Roman" w:eastAsia="標楷體" w:hAnsi="Times New Roman"/>
          <w:sz w:val="28"/>
          <w:szCs w:val="28"/>
          <w:shd w:val="clear" w:color="auto" w:fill="FBE4D5" w:themeFill="accent2" w:themeFillTint="33"/>
        </w:rPr>
        <w:t xml:space="preserve"> 9% </w:t>
      </w:r>
      <w:r w:rsidRPr="00C81B60">
        <w:rPr>
          <w:rFonts w:ascii="Times New Roman" w:eastAsia="標楷體" w:hAnsi="Times New Roman"/>
          <w:sz w:val="28"/>
          <w:szCs w:val="28"/>
          <w:shd w:val="clear" w:color="auto" w:fill="FBE4D5" w:themeFill="accent2" w:themeFillTint="33"/>
        </w:rPr>
        <w:t>的確診個案未接受治療，並於</w:t>
      </w:r>
      <w:r w:rsidR="008E167D" w:rsidRPr="00C81B60">
        <w:rPr>
          <w:rFonts w:ascii="Times New Roman" w:eastAsia="標楷體" w:hAnsi="Times New Roman"/>
          <w:sz w:val="28"/>
          <w:szCs w:val="28"/>
          <w:shd w:val="clear" w:color="auto" w:fill="FBE4D5" w:themeFill="accent2" w:themeFillTint="33"/>
        </w:rPr>
        <w:t>114</w:t>
      </w:r>
      <w:r w:rsidRPr="00C81B60">
        <w:rPr>
          <w:rFonts w:ascii="Times New Roman" w:eastAsia="標楷體" w:hAnsi="Times New Roman"/>
          <w:sz w:val="28"/>
          <w:szCs w:val="28"/>
          <w:shd w:val="clear" w:color="auto" w:fill="FBE4D5" w:themeFill="accent2" w:themeFillTint="33"/>
        </w:rPr>
        <w:t>年開始回饋未檢查</w:t>
      </w:r>
      <w:r w:rsidRPr="00C81B60">
        <w:rPr>
          <w:rFonts w:ascii="Times New Roman" w:eastAsia="標楷體" w:hAnsi="Times New Roman"/>
          <w:sz w:val="28"/>
          <w:szCs w:val="28"/>
          <w:shd w:val="clear" w:color="auto" w:fill="FBE4D5" w:themeFill="accent2" w:themeFillTint="33"/>
        </w:rPr>
        <w:t>/</w:t>
      </w:r>
      <w:r w:rsidRPr="00C81B60">
        <w:rPr>
          <w:rFonts w:ascii="Times New Roman" w:eastAsia="標楷體" w:hAnsi="Times New Roman"/>
          <w:sz w:val="28"/>
          <w:szCs w:val="28"/>
          <w:shd w:val="clear" w:color="auto" w:fill="FBE4D5" w:themeFill="accent2" w:themeFillTint="33"/>
        </w:rPr>
        <w:t>未治療個案。希望透過全人、全程的監測，主動找出遺漏的病人，即時銜接篩檢與治療。</w:t>
      </w:r>
    </w:p>
    <w:tbl>
      <w:tblPr>
        <w:tblW w:w="7020" w:type="dxa"/>
        <w:tblInd w:w="1129" w:type="dxa"/>
        <w:tblCellMar>
          <w:left w:w="10" w:type="dxa"/>
          <w:right w:w="10" w:type="dxa"/>
        </w:tblCellMar>
        <w:tblLook w:val="0000" w:firstRow="0" w:lastRow="0" w:firstColumn="0" w:lastColumn="0" w:noHBand="0" w:noVBand="0"/>
      </w:tblPr>
      <w:tblGrid>
        <w:gridCol w:w="1413"/>
        <w:gridCol w:w="2977"/>
        <w:gridCol w:w="2630"/>
      </w:tblGrid>
      <w:tr w:rsidR="0042416D" w:rsidRPr="00C81B60">
        <w:tc>
          <w:tcPr>
            <w:tcW w:w="1413" w:type="dxa"/>
            <w:tcBorders>
              <w:top w:val="single" w:sz="4" w:space="0" w:color="000000"/>
              <w:left w:val="single" w:sz="4" w:space="0" w:color="000000"/>
              <w:bottom w:val="single" w:sz="4" w:space="0" w:color="000000"/>
              <w:right w:val="single" w:sz="4" w:space="0" w:color="000000"/>
            </w:tcBorders>
            <w:shd w:val="clear" w:color="auto" w:fill="EDF2F9"/>
            <w:tcMar>
              <w:top w:w="0" w:type="dxa"/>
              <w:left w:w="108" w:type="dxa"/>
              <w:bottom w:w="0" w:type="dxa"/>
              <w:right w:w="108" w:type="dxa"/>
            </w:tcMar>
          </w:tcPr>
          <w:p w:rsidR="0042416D" w:rsidRPr="00C81B60" w:rsidRDefault="00F15B97" w:rsidP="00C81B60">
            <w:pPr>
              <w:adjustRightInd w:val="0"/>
              <w:snapToGrid w:val="0"/>
              <w:spacing w:after="0" w:line="400" w:lineRule="exact"/>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年度</w:t>
            </w:r>
          </w:p>
        </w:tc>
        <w:tc>
          <w:tcPr>
            <w:tcW w:w="2977" w:type="dxa"/>
            <w:tcBorders>
              <w:top w:val="single" w:sz="4" w:space="0" w:color="000000"/>
              <w:left w:val="single" w:sz="4" w:space="0" w:color="000000"/>
              <w:bottom w:val="single" w:sz="4" w:space="0" w:color="000000"/>
              <w:right w:val="single" w:sz="4" w:space="0" w:color="000000"/>
            </w:tcBorders>
            <w:shd w:val="clear" w:color="auto" w:fill="EDF2F9"/>
            <w:tcMar>
              <w:top w:w="0" w:type="dxa"/>
              <w:left w:w="108" w:type="dxa"/>
              <w:bottom w:w="0" w:type="dxa"/>
              <w:right w:w="108" w:type="dxa"/>
            </w:tcMar>
          </w:tcPr>
          <w:p w:rsidR="0042416D" w:rsidRPr="00C81B60" w:rsidRDefault="00F15B97" w:rsidP="00C81B60">
            <w:pPr>
              <w:adjustRightInd w:val="0"/>
              <w:snapToGrid w:val="0"/>
              <w:spacing w:after="0" w:line="400" w:lineRule="exact"/>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篩陽後即時鏡檢率</w:t>
            </w:r>
          </w:p>
        </w:tc>
        <w:tc>
          <w:tcPr>
            <w:tcW w:w="2630" w:type="dxa"/>
            <w:tcBorders>
              <w:top w:val="single" w:sz="4" w:space="0" w:color="000000"/>
              <w:left w:val="single" w:sz="4" w:space="0" w:color="000000"/>
              <w:bottom w:val="single" w:sz="4" w:space="0" w:color="000000"/>
              <w:right w:val="single" w:sz="4" w:space="0" w:color="000000"/>
            </w:tcBorders>
            <w:shd w:val="clear" w:color="auto" w:fill="EDF2F9"/>
            <w:tcMar>
              <w:top w:w="0" w:type="dxa"/>
              <w:left w:w="108" w:type="dxa"/>
              <w:bottom w:w="0" w:type="dxa"/>
              <w:right w:w="108" w:type="dxa"/>
            </w:tcMar>
          </w:tcPr>
          <w:p w:rsidR="0042416D" w:rsidRPr="00C81B60" w:rsidRDefault="00F15B97" w:rsidP="00C81B60">
            <w:pPr>
              <w:adjustRightInd w:val="0"/>
              <w:snapToGrid w:val="0"/>
              <w:spacing w:after="0" w:line="400" w:lineRule="exact"/>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高風險個案治療率</w:t>
            </w:r>
          </w:p>
        </w:tc>
      </w:tr>
      <w:tr w:rsidR="0042416D" w:rsidRPr="00C81B60">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2416D" w:rsidRPr="00C81B60" w:rsidRDefault="00F15B97" w:rsidP="00C81B60">
            <w:pPr>
              <w:adjustRightInd w:val="0"/>
              <w:snapToGrid w:val="0"/>
              <w:spacing w:after="0" w:line="400" w:lineRule="exact"/>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112</w:t>
            </w:r>
            <w:r w:rsidRPr="00C81B60">
              <w:rPr>
                <w:rFonts w:ascii="Times New Roman" w:eastAsia="標楷體" w:hAnsi="Times New Roman"/>
                <w:sz w:val="28"/>
                <w:szCs w:val="28"/>
                <w:shd w:val="clear" w:color="auto" w:fill="FBE4D5" w:themeFill="accent2" w:themeFillTint="33"/>
              </w:rPr>
              <w:t>年</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2416D" w:rsidRPr="00C81B60" w:rsidRDefault="00F15B97" w:rsidP="00C81B60">
            <w:pPr>
              <w:adjustRightInd w:val="0"/>
              <w:snapToGrid w:val="0"/>
              <w:spacing w:after="0" w:line="400" w:lineRule="exact"/>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76%</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2416D" w:rsidRPr="00C81B60" w:rsidRDefault="00F15B97" w:rsidP="00C81B60">
            <w:pPr>
              <w:adjustRightInd w:val="0"/>
              <w:snapToGrid w:val="0"/>
              <w:spacing w:after="0" w:line="400" w:lineRule="exact"/>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89%</w:t>
            </w:r>
          </w:p>
        </w:tc>
      </w:tr>
      <w:tr w:rsidR="0042416D" w:rsidRPr="00C81B60">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2416D" w:rsidRPr="00C81B60" w:rsidRDefault="00F15B97" w:rsidP="00C81B60">
            <w:pPr>
              <w:adjustRightInd w:val="0"/>
              <w:snapToGrid w:val="0"/>
              <w:spacing w:after="0" w:line="400" w:lineRule="exact"/>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113</w:t>
            </w:r>
            <w:r w:rsidRPr="00C81B60">
              <w:rPr>
                <w:rFonts w:ascii="Times New Roman" w:eastAsia="標楷體" w:hAnsi="Times New Roman"/>
                <w:sz w:val="28"/>
                <w:szCs w:val="28"/>
                <w:shd w:val="clear" w:color="auto" w:fill="FBE4D5" w:themeFill="accent2" w:themeFillTint="33"/>
              </w:rPr>
              <w:t>年</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2416D" w:rsidRPr="00C81B60" w:rsidRDefault="00F15B97" w:rsidP="00C81B60">
            <w:pPr>
              <w:adjustRightInd w:val="0"/>
              <w:snapToGrid w:val="0"/>
              <w:spacing w:after="0" w:line="400" w:lineRule="exact"/>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78%</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2416D" w:rsidRPr="00C81B60" w:rsidRDefault="00F15B97" w:rsidP="00C81B60">
            <w:pPr>
              <w:adjustRightInd w:val="0"/>
              <w:snapToGrid w:val="0"/>
              <w:spacing w:after="0" w:line="400" w:lineRule="exact"/>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91%</w:t>
            </w:r>
          </w:p>
        </w:tc>
      </w:tr>
    </w:tbl>
    <w:p w:rsidR="0015590C" w:rsidRPr="00C81B60" w:rsidRDefault="0015590C" w:rsidP="00C81B60">
      <w:pPr>
        <w:pStyle w:val="a3"/>
        <w:numPr>
          <w:ilvl w:val="0"/>
          <w:numId w:val="19"/>
        </w:numPr>
        <w:adjustRightInd w:val="0"/>
        <w:snapToGrid w:val="0"/>
        <w:spacing w:after="0" w:line="400" w:lineRule="exact"/>
        <w:jc w:val="both"/>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藥品方面：健保署致力將具治療效益之藥品納入健保給付，依全民健康保險藥物給付項目及支付標準規定進行核價，強化醫療科技評估</w:t>
      </w:r>
      <w:r w:rsidRPr="00C81B60">
        <w:rPr>
          <w:rFonts w:ascii="Times New Roman" w:eastAsia="標楷體" w:hAnsi="Times New Roman"/>
          <w:sz w:val="28"/>
          <w:szCs w:val="28"/>
          <w:shd w:val="clear" w:color="auto" w:fill="FBE4D5" w:themeFill="accent2" w:themeFillTint="33"/>
        </w:rPr>
        <w:t>(HTA)</w:t>
      </w:r>
      <w:r w:rsidRPr="00C81B60">
        <w:rPr>
          <w:rFonts w:ascii="Times New Roman" w:eastAsia="標楷體" w:hAnsi="Times New Roman"/>
          <w:sz w:val="28"/>
          <w:szCs w:val="28"/>
          <w:shd w:val="clear" w:color="auto" w:fill="FBE4D5" w:themeFill="accent2" w:themeFillTint="33"/>
        </w:rPr>
        <w:t>，基於科學證據，運用藥物經濟學、臨床效益和成本效益分析，並綜合考量臨床治療需求、倫理價值等面向，收載新藥。</w:t>
      </w:r>
    </w:p>
    <w:p w:rsidR="0015590C" w:rsidRPr="00C81B60" w:rsidRDefault="0015590C" w:rsidP="00C81B60">
      <w:pPr>
        <w:pStyle w:val="a3"/>
        <w:numPr>
          <w:ilvl w:val="0"/>
          <w:numId w:val="19"/>
        </w:numPr>
        <w:adjustRightInd w:val="0"/>
        <w:snapToGrid w:val="0"/>
        <w:spacing w:after="0" w:line="400" w:lineRule="exact"/>
        <w:jc w:val="both"/>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特材方面：</w:t>
      </w:r>
    </w:p>
    <w:p w:rsidR="0015590C" w:rsidRPr="00C81B60" w:rsidRDefault="0015590C" w:rsidP="00C81B60">
      <w:pPr>
        <w:pStyle w:val="a3"/>
        <w:numPr>
          <w:ilvl w:val="0"/>
          <w:numId w:val="25"/>
        </w:numPr>
        <w:adjustRightInd w:val="0"/>
        <w:snapToGrid w:val="0"/>
        <w:spacing w:line="400" w:lineRule="exact"/>
        <w:jc w:val="both"/>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以特材收載與給付評估為例，不僅著重單一產品對疾病的短期療效，而是以臨床實證為基礎，整體評估其對病人照護歷程之影響，包括治療結果、併發症、醫療資源使用及生活品質等，並以病人臨床需求與健康效益為核心出發點。</w:t>
      </w:r>
    </w:p>
    <w:p w:rsidR="0015590C" w:rsidRPr="00C81B60" w:rsidRDefault="0015590C" w:rsidP="00C81B60">
      <w:pPr>
        <w:pStyle w:val="a3"/>
        <w:numPr>
          <w:ilvl w:val="0"/>
          <w:numId w:val="25"/>
        </w:numPr>
        <w:adjustRightInd w:val="0"/>
        <w:snapToGrid w:val="0"/>
        <w:spacing w:line="400" w:lineRule="exact"/>
        <w:jc w:val="both"/>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針對臨床必要、兒童或急重症使用醫材，優先加速研議並朝全額給付收載；對於具實證但財務衝擊較大者，透過自付差額機制納入健保，並依臨床實證等級訂定合理給付比例，以提升新醫材可近性，同時兼顧制度永續，落實「以病人為中心」之全人照護精神。</w:t>
      </w:r>
    </w:p>
    <w:p w:rsidR="00C81B60" w:rsidRPr="00C81B60" w:rsidRDefault="00C81B60" w:rsidP="00C81B60">
      <w:pPr>
        <w:pStyle w:val="a3"/>
        <w:adjustRightInd w:val="0"/>
        <w:snapToGrid w:val="0"/>
        <w:spacing w:line="400" w:lineRule="exact"/>
        <w:ind w:left="1440"/>
        <w:jc w:val="both"/>
        <w:rPr>
          <w:rFonts w:ascii="Times New Roman" w:eastAsia="標楷體" w:hAnsi="Times New Roman"/>
          <w:sz w:val="28"/>
          <w:szCs w:val="28"/>
        </w:rPr>
      </w:pPr>
    </w:p>
    <w:p w:rsidR="0042416D" w:rsidRPr="00C81B60" w:rsidRDefault="00F15B97" w:rsidP="00C81B60">
      <w:pPr>
        <w:pStyle w:val="a3"/>
        <w:numPr>
          <w:ilvl w:val="4"/>
          <w:numId w:val="19"/>
        </w:numPr>
        <w:adjustRightInd w:val="0"/>
        <w:snapToGrid w:val="0"/>
        <w:spacing w:after="0" w:line="400" w:lineRule="exact"/>
        <w:ind w:left="1140" w:hanging="856"/>
        <w:jc w:val="both"/>
        <w:rPr>
          <w:rFonts w:ascii="Times New Roman" w:eastAsia="標楷體" w:hAnsi="Times New Roman"/>
          <w:sz w:val="28"/>
          <w:szCs w:val="28"/>
        </w:rPr>
      </w:pPr>
      <w:r w:rsidRPr="00C81B60">
        <w:rPr>
          <w:rFonts w:ascii="Times New Roman" w:eastAsia="標楷體" w:hAnsi="Times New Roman"/>
          <w:sz w:val="28"/>
          <w:szCs w:val="28"/>
        </w:rPr>
        <w:lastRenderedPageBreak/>
        <w:t>以您精神科醫師的背景，在制訂與執行健保政策時，是否會是更好的溝通橋樑。</w:t>
      </w:r>
      <w:r w:rsidRPr="00C81B60">
        <w:rPr>
          <w:rFonts w:ascii="Times New Roman" w:eastAsia="標楷體" w:hAnsi="Times New Roman"/>
          <w:color w:val="FF0000"/>
          <w:sz w:val="28"/>
          <w:szCs w:val="28"/>
        </w:rPr>
        <w:t>(</w:t>
      </w:r>
      <w:r w:rsidRPr="00C81B60">
        <w:rPr>
          <w:rFonts w:ascii="Times New Roman" w:eastAsia="標楷體" w:hAnsi="Times New Roman"/>
          <w:color w:val="FF0000"/>
          <w:sz w:val="28"/>
          <w:szCs w:val="28"/>
        </w:rPr>
        <w:t>醫務管理組、</w:t>
      </w:r>
      <w:r w:rsidRPr="00C81B60">
        <w:rPr>
          <w:rFonts w:ascii="Times New Roman" w:eastAsia="標楷體" w:hAnsi="Times New Roman"/>
          <w:color w:val="FF0000"/>
          <w:sz w:val="28"/>
          <w:szCs w:val="28"/>
          <w:highlight w:val="yellow"/>
        </w:rPr>
        <w:t>醫審及藥材組</w:t>
      </w:r>
      <w:r w:rsidRPr="00C81B60">
        <w:rPr>
          <w:rFonts w:ascii="Times New Roman" w:eastAsia="標楷體" w:hAnsi="Times New Roman"/>
          <w:color w:val="FF0000"/>
          <w:sz w:val="28"/>
          <w:szCs w:val="28"/>
        </w:rPr>
        <w:t>、企劃組</w:t>
      </w:r>
      <w:r w:rsidRPr="00C81B60">
        <w:rPr>
          <w:rFonts w:ascii="Times New Roman" w:eastAsia="標楷體" w:hAnsi="Times New Roman"/>
          <w:color w:val="FF0000"/>
          <w:sz w:val="28"/>
          <w:szCs w:val="28"/>
        </w:rPr>
        <w:t>)</w:t>
      </w:r>
    </w:p>
    <w:p w:rsidR="00DB20D1" w:rsidRPr="00C81B60" w:rsidRDefault="00DB20D1" w:rsidP="00C81B60">
      <w:pPr>
        <w:pStyle w:val="Default"/>
        <w:adjustRightInd w:val="0"/>
        <w:snapToGrid w:val="0"/>
        <w:spacing w:before="100" w:beforeAutospacing="1" w:line="400" w:lineRule="exact"/>
        <w:ind w:leftChars="129" w:left="271"/>
        <w:jc w:val="both"/>
        <w:rPr>
          <w:rFonts w:ascii="Times New Roman" w:eastAsia="標楷體" w:hAnsi="Times New Roman" w:cs="Times New Roman"/>
          <w:sz w:val="28"/>
          <w:szCs w:val="28"/>
        </w:rPr>
      </w:pPr>
      <w:r w:rsidRPr="00C81B60">
        <w:rPr>
          <w:rFonts w:ascii="Times New Roman" w:eastAsia="標楷體" w:hAnsi="Times New Roman" w:cs="Times New Roman"/>
          <w:sz w:val="28"/>
          <w:szCs w:val="28"/>
        </w:rPr>
        <w:t>本組擬答：</w:t>
      </w:r>
    </w:p>
    <w:p w:rsidR="0042416D" w:rsidRPr="00C81B60" w:rsidRDefault="00F15B97" w:rsidP="00C81B60">
      <w:pPr>
        <w:pStyle w:val="a3"/>
        <w:numPr>
          <w:ilvl w:val="0"/>
          <w:numId w:val="26"/>
        </w:numPr>
        <w:adjustRightInd w:val="0"/>
        <w:snapToGrid w:val="0"/>
        <w:spacing w:after="0" w:line="400" w:lineRule="exact"/>
        <w:jc w:val="both"/>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本</w:t>
      </w:r>
      <w:r w:rsidR="0043679D" w:rsidRPr="00C81B60">
        <w:rPr>
          <w:rFonts w:ascii="Times New Roman" w:eastAsia="標楷體" w:hAnsi="Times New Roman"/>
          <w:sz w:val="28"/>
          <w:szCs w:val="28"/>
          <w:shd w:val="clear" w:color="auto" w:fill="FBE4D5" w:themeFill="accent2" w:themeFillTint="33"/>
        </w:rPr>
        <w:t>署重視與臨床專家、醫學學會之間的溝通。以近期的「安眠鎮靜用藥管理溝通會議」及「肺部切除相關手術臨床共識之溝通會議」為例，本署先</w:t>
      </w:r>
      <w:r w:rsidR="008E167D" w:rsidRPr="00C81B60">
        <w:rPr>
          <w:rFonts w:ascii="Times New Roman" w:eastAsia="標楷體" w:hAnsi="Times New Roman"/>
          <w:sz w:val="28"/>
          <w:szCs w:val="28"/>
          <w:shd w:val="clear" w:color="auto" w:fill="FBE4D5" w:themeFill="accent2" w:themeFillTint="33"/>
        </w:rPr>
        <w:t>進行相關數據</w:t>
      </w:r>
      <w:r w:rsidR="0043679D" w:rsidRPr="00C81B60">
        <w:rPr>
          <w:rFonts w:ascii="Times New Roman" w:eastAsia="標楷體" w:hAnsi="Times New Roman"/>
          <w:sz w:val="28"/>
          <w:szCs w:val="28"/>
          <w:shd w:val="clear" w:color="auto" w:fill="FBE4D5" w:themeFill="accent2" w:themeFillTint="33"/>
        </w:rPr>
        <w:t>分析</w:t>
      </w:r>
      <w:r w:rsidR="008E167D" w:rsidRPr="00C81B60">
        <w:rPr>
          <w:rFonts w:ascii="Times New Roman" w:eastAsia="標楷體" w:hAnsi="Times New Roman"/>
          <w:sz w:val="28"/>
          <w:szCs w:val="28"/>
          <w:shd w:val="clear" w:color="auto" w:fill="FBE4D5" w:themeFill="accent2" w:themeFillTint="33"/>
        </w:rPr>
        <w:t>後</w:t>
      </w:r>
      <w:r w:rsidR="0043679D" w:rsidRPr="00C81B60">
        <w:rPr>
          <w:rFonts w:ascii="Times New Roman" w:eastAsia="標楷體" w:hAnsi="Times New Roman"/>
          <w:sz w:val="28"/>
          <w:szCs w:val="28"/>
          <w:shd w:val="clear" w:color="auto" w:fill="FBE4D5" w:themeFill="accent2" w:themeFillTint="33"/>
        </w:rPr>
        <w:t>，再與臨床專家或</w:t>
      </w:r>
      <w:r w:rsidR="008E167D" w:rsidRPr="00C81B60">
        <w:rPr>
          <w:rFonts w:ascii="Times New Roman" w:eastAsia="標楷體" w:hAnsi="Times New Roman"/>
          <w:sz w:val="28"/>
          <w:szCs w:val="28"/>
          <w:shd w:val="clear" w:color="auto" w:fill="FBE4D5" w:themeFill="accent2" w:themeFillTint="33"/>
        </w:rPr>
        <w:t>專業團體</w:t>
      </w:r>
      <w:r w:rsidR="0043679D" w:rsidRPr="00C81B60">
        <w:rPr>
          <w:rFonts w:ascii="Times New Roman" w:eastAsia="標楷體" w:hAnsi="Times New Roman"/>
          <w:sz w:val="28"/>
          <w:szCs w:val="28"/>
          <w:shd w:val="clear" w:color="auto" w:fill="FBE4D5" w:themeFill="accent2" w:themeFillTint="33"/>
        </w:rPr>
        <w:t>進行溝通討論，最終聚焦高風險、臨床無學理支持的個案進行輔導及監測，如：針對</w:t>
      </w:r>
      <w:r w:rsidR="0043679D" w:rsidRPr="00C81B60">
        <w:rPr>
          <w:rFonts w:ascii="Times New Roman" w:eastAsia="標楷體" w:hAnsi="Times New Roman"/>
          <w:sz w:val="28"/>
          <w:szCs w:val="28"/>
          <w:shd w:val="clear" w:color="auto" w:fill="FBE4D5" w:themeFill="accent2" w:themeFillTint="33"/>
        </w:rPr>
        <w:t>65</w:t>
      </w:r>
      <w:r w:rsidR="0043679D" w:rsidRPr="00C81B60">
        <w:rPr>
          <w:rFonts w:ascii="Times New Roman" w:eastAsia="標楷體" w:hAnsi="Times New Roman"/>
          <w:sz w:val="28"/>
          <w:szCs w:val="28"/>
          <w:shd w:val="clear" w:color="auto" w:fill="FBE4D5" w:themeFill="accent2" w:themeFillTint="33"/>
        </w:rPr>
        <w:t>歲以上長者，開立</w:t>
      </w:r>
      <w:r w:rsidR="0043679D" w:rsidRPr="00C81B60">
        <w:rPr>
          <w:rFonts w:ascii="Times New Roman" w:eastAsia="標楷體" w:hAnsi="Times New Roman"/>
          <w:sz w:val="28"/>
          <w:szCs w:val="28"/>
          <w:shd w:val="clear" w:color="auto" w:fill="FBE4D5" w:themeFill="accent2" w:themeFillTint="33"/>
        </w:rPr>
        <w:t>3</w:t>
      </w:r>
      <w:r w:rsidR="0043679D" w:rsidRPr="00C81B60">
        <w:rPr>
          <w:rFonts w:ascii="Times New Roman" w:eastAsia="標楷體" w:hAnsi="Times New Roman"/>
          <w:sz w:val="28"/>
          <w:szCs w:val="28"/>
          <w:shd w:val="clear" w:color="auto" w:fill="FBE4D5" w:themeFill="accent2" w:themeFillTint="33"/>
        </w:rPr>
        <w:t>種長效型或短效型安眠藥處方箋，且持續時間長達</w:t>
      </w:r>
      <w:r w:rsidR="0043679D" w:rsidRPr="00C81B60">
        <w:rPr>
          <w:rFonts w:ascii="Times New Roman" w:eastAsia="標楷體" w:hAnsi="Times New Roman"/>
          <w:sz w:val="28"/>
          <w:szCs w:val="28"/>
          <w:shd w:val="clear" w:color="auto" w:fill="FBE4D5" w:themeFill="accent2" w:themeFillTint="33"/>
        </w:rPr>
        <w:t>6</w:t>
      </w:r>
      <w:r w:rsidR="0043679D" w:rsidRPr="00C81B60">
        <w:rPr>
          <w:rFonts w:ascii="Times New Roman" w:eastAsia="標楷體" w:hAnsi="Times New Roman"/>
          <w:sz w:val="28"/>
          <w:szCs w:val="28"/>
          <w:shd w:val="clear" w:color="auto" w:fill="FBE4D5" w:themeFill="accent2" w:themeFillTint="33"/>
        </w:rPr>
        <w:t>個月以上，進行醫療院所處方探討及管理；或是針對以肺葉</w:t>
      </w:r>
      <w:r w:rsidR="0043679D" w:rsidRPr="00C81B60">
        <w:rPr>
          <w:rFonts w:ascii="Times New Roman" w:eastAsia="標楷體" w:hAnsi="Times New Roman"/>
          <w:sz w:val="28"/>
          <w:szCs w:val="28"/>
          <w:shd w:val="clear" w:color="auto" w:fill="FBE4D5" w:themeFill="accent2" w:themeFillTint="33"/>
        </w:rPr>
        <w:t>/</w:t>
      </w:r>
      <w:r w:rsidR="0043679D" w:rsidRPr="00C81B60">
        <w:rPr>
          <w:rFonts w:ascii="Times New Roman" w:eastAsia="標楷體" w:hAnsi="Times New Roman"/>
          <w:sz w:val="28"/>
          <w:szCs w:val="28"/>
          <w:shd w:val="clear" w:color="auto" w:fill="FBE4D5" w:themeFill="accent2" w:themeFillTint="33"/>
        </w:rPr>
        <w:t>肺分葉切除術切除小於</w:t>
      </w:r>
      <w:r w:rsidR="0043679D" w:rsidRPr="00C81B60">
        <w:rPr>
          <w:rFonts w:ascii="Times New Roman" w:eastAsia="標楷體" w:hAnsi="Times New Roman"/>
          <w:sz w:val="28"/>
          <w:szCs w:val="28"/>
          <w:shd w:val="clear" w:color="auto" w:fill="FBE4D5" w:themeFill="accent2" w:themeFillTint="33"/>
        </w:rPr>
        <w:t xml:space="preserve"> 6mm </w:t>
      </w:r>
      <w:r w:rsidR="0043679D" w:rsidRPr="00C81B60">
        <w:rPr>
          <w:rFonts w:ascii="Times New Roman" w:eastAsia="標楷體" w:hAnsi="Times New Roman"/>
          <w:sz w:val="28"/>
          <w:szCs w:val="28"/>
          <w:shd w:val="clear" w:color="auto" w:fill="FBE4D5" w:themeFill="accent2" w:themeFillTint="33"/>
        </w:rPr>
        <w:t>的良性實心結節個案進行監測等。藉由跨專業、跨領域討論合作，共同守護國人的健康</w:t>
      </w:r>
      <w:r w:rsidRPr="00C81B60">
        <w:rPr>
          <w:rFonts w:ascii="Times New Roman" w:eastAsia="標楷體" w:hAnsi="Times New Roman"/>
          <w:sz w:val="28"/>
          <w:szCs w:val="28"/>
          <w:shd w:val="clear" w:color="auto" w:fill="FBE4D5" w:themeFill="accent2" w:themeFillTint="33"/>
        </w:rPr>
        <w:t>。</w:t>
      </w:r>
    </w:p>
    <w:p w:rsidR="0015590C" w:rsidRPr="00C81B60" w:rsidRDefault="0015590C" w:rsidP="00C81B60">
      <w:pPr>
        <w:numPr>
          <w:ilvl w:val="0"/>
          <w:numId w:val="26"/>
        </w:numPr>
        <w:tabs>
          <w:tab w:val="left" w:pos="851"/>
        </w:tabs>
        <w:adjustRightInd w:val="0"/>
        <w:snapToGrid w:val="0"/>
        <w:spacing w:line="400" w:lineRule="exact"/>
        <w:rPr>
          <w:rFonts w:ascii="Times New Roman" w:eastAsia="標楷體" w:hAnsi="Times New Roman"/>
          <w:color w:val="000000"/>
          <w:sz w:val="28"/>
          <w:szCs w:val="28"/>
          <w:shd w:val="clear" w:color="auto" w:fill="FBE4D5" w:themeFill="accent2" w:themeFillTint="33"/>
          <w:lang w:eastAsia="zh-TW"/>
        </w:rPr>
      </w:pPr>
      <w:r w:rsidRPr="00C81B60">
        <w:rPr>
          <w:rFonts w:ascii="Times New Roman" w:eastAsia="標楷體" w:hAnsi="Times New Roman"/>
          <w:color w:val="000000"/>
          <w:sz w:val="28"/>
          <w:szCs w:val="28"/>
          <w:shd w:val="clear" w:color="auto" w:fill="FBE4D5" w:themeFill="accent2" w:themeFillTint="33"/>
          <w:lang w:eastAsia="zh-TW"/>
        </w:rPr>
        <w:t>在健保政策的制訂與執行上，以較強的溝通與整合能力作為基礎，有助強化溝通與整合的角色，特別是在理解病人整體需求與促進跨專業共識方面更具優勢。</w:t>
      </w:r>
    </w:p>
    <w:p w:rsidR="0015590C" w:rsidRPr="00C81B60" w:rsidRDefault="0015590C" w:rsidP="00C81B60">
      <w:pPr>
        <w:numPr>
          <w:ilvl w:val="0"/>
          <w:numId w:val="26"/>
        </w:numPr>
        <w:tabs>
          <w:tab w:val="left" w:pos="851"/>
        </w:tabs>
        <w:adjustRightInd w:val="0"/>
        <w:snapToGrid w:val="0"/>
        <w:spacing w:line="400" w:lineRule="exact"/>
        <w:rPr>
          <w:rFonts w:ascii="標楷體" w:eastAsia="標楷體" w:hAnsi="標楷體"/>
          <w:color w:val="000000"/>
          <w:sz w:val="28"/>
          <w:szCs w:val="28"/>
          <w:lang w:eastAsia="zh-TW"/>
        </w:rPr>
      </w:pPr>
      <w:r w:rsidRPr="00C81B60">
        <w:rPr>
          <w:rFonts w:ascii="Times New Roman" w:eastAsia="標楷體" w:hAnsi="Times New Roman"/>
          <w:color w:val="000000"/>
          <w:sz w:val="28"/>
          <w:szCs w:val="28"/>
          <w:shd w:val="clear" w:color="auto" w:fill="FBE4D5" w:themeFill="accent2" w:themeFillTint="33"/>
          <w:lang w:eastAsia="zh-TW"/>
        </w:rPr>
        <w:t>現行政策環境中，會結合醫療科技評估（</w:t>
      </w:r>
      <w:r w:rsidRPr="00C81B60">
        <w:rPr>
          <w:rFonts w:ascii="Times New Roman" w:eastAsia="標楷體" w:hAnsi="Times New Roman"/>
          <w:color w:val="000000"/>
          <w:sz w:val="28"/>
          <w:szCs w:val="28"/>
          <w:shd w:val="clear" w:color="auto" w:fill="FBE4D5" w:themeFill="accent2" w:themeFillTint="33"/>
          <w:lang w:eastAsia="zh-TW"/>
        </w:rPr>
        <w:t>HTA</w:t>
      </w:r>
      <w:r w:rsidRPr="00C81B60">
        <w:rPr>
          <w:rFonts w:ascii="Times New Roman" w:eastAsia="標楷體" w:hAnsi="Times New Roman"/>
          <w:color w:val="000000"/>
          <w:sz w:val="28"/>
          <w:szCs w:val="28"/>
          <w:shd w:val="clear" w:color="auto" w:fill="FBE4D5" w:themeFill="accent2" w:themeFillTint="33"/>
          <w:lang w:eastAsia="zh-TW"/>
        </w:rPr>
        <w:t>）的方法，將臨床證據、療效、安全性與成本效益納入系統性分析，使溝通不僅建立在臨床經驗與同理基礎上，也有客觀數據支持。</w:t>
      </w:r>
      <w:r w:rsidR="00C81B60">
        <w:rPr>
          <w:rFonts w:ascii="標楷體" w:eastAsia="標楷體" w:hAnsi="標楷體"/>
          <w:color w:val="000000"/>
          <w:sz w:val="28"/>
          <w:szCs w:val="28"/>
          <w:lang w:eastAsia="zh-TW"/>
        </w:rPr>
        <w:br w:type="page"/>
      </w:r>
    </w:p>
    <w:p w:rsidR="0042416D" w:rsidRPr="00C81B60" w:rsidRDefault="00F15B97" w:rsidP="00C81B60">
      <w:pPr>
        <w:adjustRightInd w:val="0"/>
        <w:snapToGrid w:val="0"/>
        <w:spacing w:after="0" w:line="400" w:lineRule="exact"/>
        <w:rPr>
          <w:rFonts w:ascii="Times New Roman" w:eastAsia="標楷體" w:hAnsi="Times New Roman"/>
          <w:sz w:val="28"/>
          <w:szCs w:val="28"/>
        </w:rPr>
      </w:pPr>
      <w:r w:rsidRPr="00B66236">
        <w:rPr>
          <w:rFonts w:ascii="Times New Roman" w:eastAsia="標楷體" w:hAnsi="Times New Roman"/>
          <w:sz w:val="28"/>
          <w:szCs w:val="28"/>
        </w:rPr>
        <w:lastRenderedPageBreak/>
        <w:t>二、</w:t>
      </w:r>
      <w:r w:rsidRPr="00C81B60">
        <w:rPr>
          <w:rFonts w:ascii="Times New Roman" w:eastAsia="標楷體" w:hAnsi="Times New Roman"/>
          <w:sz w:val="28"/>
          <w:szCs w:val="28"/>
        </w:rPr>
        <w:t>訪題二</w:t>
      </w:r>
      <w:r w:rsidRPr="00C81B60">
        <w:rPr>
          <w:rFonts w:ascii="Times New Roman" w:eastAsia="標楷體" w:hAnsi="Times New Roman"/>
          <w:sz w:val="28"/>
          <w:szCs w:val="28"/>
        </w:rPr>
        <w:t>:</w:t>
      </w:r>
      <w:r w:rsidRPr="00C81B60">
        <w:rPr>
          <w:rFonts w:ascii="Times New Roman" w:eastAsia="標楷體" w:hAnsi="Times New Roman"/>
          <w:sz w:val="28"/>
          <w:szCs w:val="28"/>
        </w:rPr>
        <w:t>健保政策推行</w:t>
      </w:r>
      <w:r w:rsidRPr="00C81B60">
        <w:rPr>
          <w:rFonts w:ascii="Times New Roman" w:eastAsia="標楷體" w:hAnsi="Times New Roman"/>
          <w:sz w:val="28"/>
          <w:szCs w:val="28"/>
        </w:rPr>
        <w:t>---888</w:t>
      </w:r>
      <w:r w:rsidRPr="00C81B60">
        <w:rPr>
          <w:rFonts w:ascii="Times New Roman" w:eastAsia="標楷體" w:hAnsi="Times New Roman"/>
          <w:sz w:val="28"/>
          <w:szCs w:val="28"/>
        </w:rPr>
        <w:t>計畫推行相關政策的成效與挑戰</w:t>
      </w:r>
    </w:p>
    <w:p w:rsidR="0042416D" w:rsidRPr="00C81B60" w:rsidRDefault="00F15B97" w:rsidP="00C81B60">
      <w:pPr>
        <w:pStyle w:val="a3"/>
        <w:numPr>
          <w:ilvl w:val="0"/>
          <w:numId w:val="20"/>
        </w:numPr>
        <w:adjustRightInd w:val="0"/>
        <w:snapToGrid w:val="0"/>
        <w:spacing w:after="0" w:line="400" w:lineRule="exact"/>
        <w:jc w:val="both"/>
        <w:rPr>
          <w:rFonts w:ascii="Times New Roman" w:eastAsia="標楷體" w:hAnsi="Times New Roman"/>
          <w:color w:val="FF0000"/>
          <w:sz w:val="28"/>
          <w:szCs w:val="28"/>
        </w:rPr>
      </w:pPr>
      <w:r w:rsidRPr="00C81B60">
        <w:rPr>
          <w:rFonts w:ascii="Times New Roman" w:eastAsia="標楷體" w:hAnsi="Times New Roman"/>
          <w:sz w:val="28"/>
          <w:szCs w:val="28"/>
        </w:rPr>
        <w:t>今年健保經費將首度突破兆元</w:t>
      </w:r>
      <w:r w:rsidRPr="00C81B60">
        <w:rPr>
          <w:rFonts w:ascii="Times New Roman" w:eastAsia="標楷體" w:hAnsi="Times New Roman"/>
          <w:sz w:val="28"/>
          <w:szCs w:val="28"/>
        </w:rPr>
        <w:t>(</w:t>
      </w:r>
      <w:r w:rsidRPr="00C81B60">
        <w:rPr>
          <w:rFonts w:ascii="Times New Roman" w:eastAsia="標楷體" w:hAnsi="Times New Roman"/>
          <w:sz w:val="28"/>
          <w:szCs w:val="28"/>
        </w:rPr>
        <w:t>健保總額</w:t>
      </w:r>
      <w:r w:rsidRPr="00C81B60">
        <w:rPr>
          <w:rFonts w:ascii="Times New Roman" w:eastAsia="標楷體" w:hAnsi="Times New Roman"/>
          <w:sz w:val="28"/>
          <w:szCs w:val="28"/>
        </w:rPr>
        <w:t>9883</w:t>
      </w:r>
      <w:r w:rsidRPr="00C81B60">
        <w:rPr>
          <w:rFonts w:ascii="Times New Roman" w:eastAsia="標楷體" w:hAnsi="Times New Roman"/>
          <w:sz w:val="28"/>
          <w:szCs w:val="28"/>
        </w:rPr>
        <w:t>億元加公務預算後的醫療支出</w:t>
      </w:r>
      <w:r w:rsidRPr="00C81B60">
        <w:rPr>
          <w:rFonts w:ascii="Times New Roman" w:eastAsia="標楷體" w:hAnsi="Times New Roman"/>
          <w:sz w:val="28"/>
          <w:szCs w:val="28"/>
        </w:rPr>
        <w:t>)</w:t>
      </w:r>
      <w:r w:rsidRPr="00C81B60">
        <w:rPr>
          <w:rFonts w:ascii="Times New Roman" w:eastAsia="標楷體" w:hAnsi="Times New Roman"/>
          <w:sz w:val="28"/>
          <w:szCs w:val="28"/>
        </w:rPr>
        <w:t>，在政策主軸中，舉凡癌症篩檢、慢性病管理乃至長照，是否形成執行壓力，要如何在政策與財源方面做調整。</w:t>
      </w:r>
      <w:r w:rsidRPr="00C81B60">
        <w:rPr>
          <w:rFonts w:ascii="Times New Roman" w:eastAsia="標楷體" w:hAnsi="Times New Roman"/>
          <w:color w:val="FF0000"/>
          <w:sz w:val="28"/>
          <w:szCs w:val="28"/>
        </w:rPr>
        <w:t>(</w:t>
      </w:r>
      <w:r w:rsidRPr="00C81B60">
        <w:rPr>
          <w:rFonts w:ascii="Times New Roman" w:eastAsia="標楷體" w:hAnsi="Times New Roman"/>
          <w:color w:val="FF0000"/>
          <w:sz w:val="28"/>
          <w:szCs w:val="28"/>
        </w:rPr>
        <w:t>財務組、承保組、醫務管理組、</w:t>
      </w:r>
      <w:r w:rsidRPr="00C81B60">
        <w:rPr>
          <w:rFonts w:ascii="Times New Roman" w:eastAsia="標楷體" w:hAnsi="Times New Roman"/>
          <w:color w:val="FF0000"/>
          <w:sz w:val="28"/>
          <w:szCs w:val="28"/>
          <w:highlight w:val="yellow"/>
        </w:rPr>
        <w:t>醫審及藥材組</w:t>
      </w:r>
      <w:r w:rsidRPr="00C81B60">
        <w:rPr>
          <w:rFonts w:ascii="Times New Roman" w:eastAsia="標楷體" w:hAnsi="Times New Roman"/>
          <w:color w:val="FF0000"/>
          <w:sz w:val="28"/>
          <w:szCs w:val="28"/>
        </w:rPr>
        <w:t>)</w:t>
      </w:r>
    </w:p>
    <w:p w:rsidR="00DB20D1" w:rsidRPr="00C81B60" w:rsidRDefault="00DB20D1" w:rsidP="00C81B60">
      <w:pPr>
        <w:pStyle w:val="Default"/>
        <w:adjustRightInd w:val="0"/>
        <w:snapToGrid w:val="0"/>
        <w:spacing w:before="100" w:beforeAutospacing="1" w:line="400" w:lineRule="exact"/>
        <w:ind w:leftChars="129" w:left="271"/>
        <w:jc w:val="both"/>
        <w:rPr>
          <w:rFonts w:ascii="Times New Roman" w:eastAsia="標楷體" w:hAnsi="Times New Roman" w:cs="Times New Roman"/>
          <w:sz w:val="28"/>
          <w:szCs w:val="28"/>
        </w:rPr>
      </w:pPr>
      <w:r w:rsidRPr="00C81B60">
        <w:rPr>
          <w:rFonts w:ascii="Times New Roman" w:eastAsia="標楷體" w:hAnsi="Times New Roman" w:cs="Times New Roman"/>
          <w:sz w:val="28"/>
          <w:szCs w:val="28"/>
        </w:rPr>
        <w:t>本組擬答：</w:t>
      </w:r>
      <w:bookmarkStart w:id="0" w:name="_GoBack"/>
      <w:bookmarkEnd w:id="0"/>
    </w:p>
    <w:p w:rsidR="00291A15" w:rsidRPr="00291A15" w:rsidRDefault="00291A15" w:rsidP="00291A15">
      <w:pPr>
        <w:pStyle w:val="a3"/>
        <w:numPr>
          <w:ilvl w:val="0"/>
          <w:numId w:val="22"/>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全程照護方面</w:t>
      </w:r>
    </w:p>
    <w:p w:rsidR="00291A15" w:rsidRDefault="00291A15" w:rsidP="00291A15">
      <w:pPr>
        <w:pStyle w:val="a3"/>
        <w:numPr>
          <w:ilvl w:val="0"/>
          <w:numId w:val="33"/>
        </w:numPr>
        <w:adjustRightInd w:val="0"/>
        <w:snapToGrid w:val="0"/>
        <w:spacing w:after="0" w:line="400" w:lineRule="exact"/>
        <w:jc w:val="both"/>
        <w:rPr>
          <w:rFonts w:ascii="Times New Roman" w:eastAsia="標楷體" w:hAnsi="Times New Roman"/>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健保署主動追蹤個案的照護情形，如針對大腸癌篩檢，整合國健署篩檢與健保署申報資料，追蹤個案之全程照護（含篩陽後是否依篩檢指引於半年內接受大腸鏡檢查，及檢查報告疑似癌前病變或癌症個案是否治療）。</w:t>
      </w:r>
    </w:p>
    <w:p w:rsidR="00291A15" w:rsidRPr="00291A15" w:rsidRDefault="00291A15" w:rsidP="00291A15">
      <w:pPr>
        <w:pStyle w:val="a3"/>
        <w:numPr>
          <w:ilvl w:val="0"/>
          <w:numId w:val="33"/>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健保署自</w:t>
      </w:r>
      <w:r w:rsidRPr="00291A15">
        <w:rPr>
          <w:rFonts w:ascii="Times New Roman" w:eastAsia="標楷體" w:hAnsi="Times New Roman" w:hint="eastAsia"/>
          <w:sz w:val="28"/>
          <w:szCs w:val="28"/>
          <w:shd w:val="clear" w:color="auto" w:fill="FBE4D5" w:themeFill="accent2" w:themeFillTint="33"/>
        </w:rPr>
        <w:t>114</w:t>
      </w:r>
      <w:r w:rsidRPr="00291A15">
        <w:rPr>
          <w:rFonts w:ascii="Times New Roman" w:eastAsia="標楷體" w:hAnsi="Times New Roman" w:hint="eastAsia"/>
          <w:sz w:val="28"/>
          <w:szCs w:val="28"/>
          <w:shd w:val="clear" w:color="auto" w:fill="FBE4D5" w:themeFill="accent2" w:themeFillTint="33"/>
        </w:rPr>
        <w:t>年開始建構以病人為中心之管理照護監測模式，定期提供未鏡檢、未治療名單予院所追蹤個案，希望能提升篩檢效益，同時也可妥善分配運用健保資源。</w:t>
      </w:r>
    </w:p>
    <w:p w:rsidR="00291A15" w:rsidRPr="00291A15" w:rsidRDefault="00291A15" w:rsidP="00291A15">
      <w:pPr>
        <w:pStyle w:val="a3"/>
        <w:numPr>
          <w:ilvl w:val="0"/>
          <w:numId w:val="22"/>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為加速健保新藥納入給付，健保近年推動多項創新藥品審查策略：</w:t>
      </w:r>
    </w:p>
    <w:p w:rsidR="00291A15" w:rsidRPr="00291A15" w:rsidRDefault="00291A15" w:rsidP="00291A15">
      <w:pPr>
        <w:pStyle w:val="a3"/>
        <w:numPr>
          <w:ilvl w:val="0"/>
          <w:numId w:val="34"/>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法規面：於</w:t>
      </w:r>
      <w:r w:rsidRPr="00291A15">
        <w:rPr>
          <w:rFonts w:ascii="Times New Roman" w:eastAsia="標楷體" w:hAnsi="Times New Roman" w:hint="eastAsia"/>
          <w:sz w:val="28"/>
          <w:szCs w:val="28"/>
          <w:shd w:val="clear" w:color="auto" w:fill="FBE4D5" w:themeFill="accent2" w:themeFillTint="33"/>
        </w:rPr>
        <w:t>2025</w:t>
      </w:r>
      <w:r w:rsidRPr="00291A15">
        <w:rPr>
          <w:rFonts w:ascii="Times New Roman" w:eastAsia="標楷體" w:hAnsi="Times New Roman" w:hint="eastAsia"/>
          <w:sz w:val="28"/>
          <w:szCs w:val="28"/>
          <w:shd w:val="clear" w:color="auto" w:fill="FBE4D5" w:themeFill="accent2" w:themeFillTint="33"/>
        </w:rPr>
        <w:t>年</w:t>
      </w:r>
      <w:r w:rsidRPr="00291A15">
        <w:rPr>
          <w:rFonts w:ascii="Times New Roman" w:eastAsia="標楷體" w:hAnsi="Times New Roman" w:hint="eastAsia"/>
          <w:sz w:val="28"/>
          <w:szCs w:val="28"/>
          <w:shd w:val="clear" w:color="auto" w:fill="FBE4D5" w:themeFill="accent2" w:themeFillTint="33"/>
        </w:rPr>
        <w:t>4</w:t>
      </w:r>
      <w:r w:rsidRPr="00291A15">
        <w:rPr>
          <w:rFonts w:ascii="Times New Roman" w:eastAsia="標楷體" w:hAnsi="Times New Roman" w:hint="eastAsia"/>
          <w:sz w:val="28"/>
          <w:szCs w:val="28"/>
          <w:shd w:val="clear" w:color="auto" w:fill="FBE4D5" w:themeFill="accent2" w:themeFillTint="33"/>
        </w:rPr>
        <w:t>月</w:t>
      </w:r>
      <w:r w:rsidRPr="00291A15">
        <w:rPr>
          <w:rFonts w:ascii="Times New Roman" w:eastAsia="標楷體" w:hAnsi="Times New Roman" w:hint="eastAsia"/>
          <w:sz w:val="28"/>
          <w:szCs w:val="28"/>
          <w:shd w:val="clear" w:color="auto" w:fill="FBE4D5" w:themeFill="accent2" w:themeFillTint="33"/>
        </w:rPr>
        <w:t>26</w:t>
      </w:r>
      <w:r w:rsidRPr="00291A15">
        <w:rPr>
          <w:rFonts w:ascii="Times New Roman" w:eastAsia="標楷體" w:hAnsi="Times New Roman" w:hint="eastAsia"/>
          <w:sz w:val="28"/>
          <w:szCs w:val="28"/>
          <w:shd w:val="clear" w:color="auto" w:fill="FBE4D5" w:themeFill="accent2" w:themeFillTint="33"/>
        </w:rPr>
        <w:t>日公告修正「全民健康保險藥物給付項目及支付標準」及「全民健康保險藥品價格調整作業辦法」部分條文，兼顧藥品供應穩定性、用藥可及性與產業升級，包含建立誘因支持新藥在地製造、藥價合理保障及適時調整健保支付價格等，並鼓勵學名藥與生物相似藥及早進入市場。各項優惠已於政策面實質運用。</w:t>
      </w:r>
    </w:p>
    <w:p w:rsidR="00291A15" w:rsidRPr="00291A15" w:rsidRDefault="00291A15" w:rsidP="00291A15">
      <w:pPr>
        <w:pStyle w:val="a3"/>
        <w:numPr>
          <w:ilvl w:val="0"/>
          <w:numId w:val="34"/>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制度面：</w:t>
      </w:r>
    </w:p>
    <w:p w:rsidR="00291A15" w:rsidRPr="00291A15" w:rsidRDefault="00291A15" w:rsidP="00291A15">
      <w:pPr>
        <w:pStyle w:val="a3"/>
        <w:numPr>
          <w:ilvl w:val="0"/>
          <w:numId w:val="36"/>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2023</w:t>
      </w:r>
      <w:r w:rsidRPr="00291A15">
        <w:rPr>
          <w:rFonts w:ascii="Times New Roman" w:eastAsia="標楷體" w:hAnsi="Times New Roman" w:hint="eastAsia"/>
          <w:sz w:val="28"/>
          <w:szCs w:val="28"/>
          <w:shd w:val="clear" w:color="auto" w:fill="FBE4D5" w:themeFill="accent2" w:themeFillTint="33"/>
        </w:rPr>
        <w:t>年實施暫時性支付制度；</w:t>
      </w:r>
      <w:r w:rsidRPr="00291A15">
        <w:rPr>
          <w:rFonts w:ascii="Times New Roman" w:eastAsia="標楷體" w:hAnsi="Times New Roman" w:hint="eastAsia"/>
          <w:sz w:val="28"/>
          <w:szCs w:val="28"/>
          <w:shd w:val="clear" w:color="auto" w:fill="FBE4D5" w:themeFill="accent2" w:themeFillTint="33"/>
        </w:rPr>
        <w:t>2024</w:t>
      </w:r>
      <w:r w:rsidRPr="00291A15">
        <w:rPr>
          <w:rFonts w:ascii="Times New Roman" w:eastAsia="標楷體" w:hAnsi="Times New Roman" w:hint="eastAsia"/>
          <w:sz w:val="28"/>
          <w:szCs w:val="28"/>
          <w:shd w:val="clear" w:color="auto" w:fill="FBE4D5" w:themeFill="accent2" w:themeFillTint="33"/>
        </w:rPr>
        <w:t>年推動平行送審機制，將新藥核價審查時間縮短至最快可於取得藥證後</w:t>
      </w:r>
      <w:r w:rsidRPr="00291A15">
        <w:rPr>
          <w:rFonts w:ascii="Times New Roman" w:eastAsia="標楷體" w:hAnsi="Times New Roman" w:hint="eastAsia"/>
          <w:sz w:val="28"/>
          <w:szCs w:val="28"/>
          <w:shd w:val="clear" w:color="auto" w:fill="FBE4D5" w:themeFill="accent2" w:themeFillTint="33"/>
        </w:rPr>
        <w:t>6</w:t>
      </w:r>
      <w:r w:rsidRPr="00291A15">
        <w:rPr>
          <w:rFonts w:ascii="Times New Roman" w:eastAsia="標楷體" w:hAnsi="Times New Roman" w:hint="eastAsia"/>
          <w:sz w:val="28"/>
          <w:szCs w:val="28"/>
          <w:shd w:val="clear" w:color="auto" w:fill="FBE4D5" w:themeFill="accent2" w:themeFillTint="33"/>
        </w:rPr>
        <w:t>個月納入健保給付。</w:t>
      </w:r>
    </w:p>
    <w:p w:rsidR="00291A15" w:rsidRPr="00291A15" w:rsidRDefault="00291A15" w:rsidP="00291A15">
      <w:pPr>
        <w:pStyle w:val="a3"/>
        <w:numPr>
          <w:ilvl w:val="0"/>
          <w:numId w:val="36"/>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2024</w:t>
      </w:r>
      <w:r w:rsidRPr="00291A15">
        <w:rPr>
          <w:rFonts w:ascii="Times New Roman" w:eastAsia="標楷體" w:hAnsi="Times New Roman" w:hint="eastAsia"/>
          <w:sz w:val="28"/>
          <w:szCs w:val="28"/>
          <w:shd w:val="clear" w:color="auto" w:fill="FBE4D5" w:themeFill="accent2" w:themeFillTint="33"/>
        </w:rPr>
        <w:t>年成立健康政策與醫療科技評估中心</w:t>
      </w:r>
      <w:r w:rsidRPr="00291A15">
        <w:rPr>
          <w:rFonts w:ascii="Times New Roman" w:eastAsia="標楷體" w:hAnsi="Times New Roman" w:hint="eastAsia"/>
          <w:sz w:val="28"/>
          <w:szCs w:val="28"/>
          <w:shd w:val="clear" w:color="auto" w:fill="FBE4D5" w:themeFill="accent2" w:themeFillTint="33"/>
        </w:rPr>
        <w:t>(CHPTA)</w:t>
      </w:r>
      <w:r w:rsidRPr="00291A15">
        <w:rPr>
          <w:rFonts w:ascii="Times New Roman" w:eastAsia="標楷體" w:hAnsi="Times New Roman" w:hint="eastAsia"/>
          <w:sz w:val="28"/>
          <w:szCs w:val="28"/>
          <w:shd w:val="clear" w:color="auto" w:fill="FBE4D5" w:themeFill="accent2" w:themeFillTint="33"/>
        </w:rPr>
        <w:t>專責辦公室，強化醫療科技評估，以實證為基礎之支付，並將設置行政法人國家醫療科技評估中心。</w:t>
      </w:r>
    </w:p>
    <w:p w:rsidR="00291A15" w:rsidRPr="00291A15" w:rsidRDefault="00291A15" w:rsidP="00291A15">
      <w:pPr>
        <w:pStyle w:val="a3"/>
        <w:numPr>
          <w:ilvl w:val="0"/>
          <w:numId w:val="34"/>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預算面</w:t>
      </w:r>
    </w:p>
    <w:p w:rsidR="00291A15" w:rsidRPr="00291A15" w:rsidRDefault="00291A15" w:rsidP="00291A15">
      <w:pPr>
        <w:pStyle w:val="a3"/>
        <w:numPr>
          <w:ilvl w:val="0"/>
          <w:numId w:val="37"/>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2025</w:t>
      </w:r>
      <w:r w:rsidRPr="00291A15">
        <w:rPr>
          <w:rFonts w:ascii="Times New Roman" w:eastAsia="標楷體" w:hAnsi="Times New Roman" w:hint="eastAsia"/>
          <w:sz w:val="28"/>
          <w:szCs w:val="28"/>
          <w:shd w:val="clear" w:color="auto" w:fill="FBE4D5" w:themeFill="accent2" w:themeFillTint="33"/>
        </w:rPr>
        <w:t>年健保藥品相關預算共約</w:t>
      </w:r>
      <w:r w:rsidRPr="00291A15">
        <w:rPr>
          <w:rFonts w:ascii="Times New Roman" w:eastAsia="標楷體" w:hAnsi="Times New Roman" w:hint="eastAsia"/>
          <w:sz w:val="28"/>
          <w:szCs w:val="28"/>
          <w:shd w:val="clear" w:color="auto" w:fill="FBE4D5" w:themeFill="accent2" w:themeFillTint="33"/>
        </w:rPr>
        <w:t>101.27</w:t>
      </w:r>
      <w:r w:rsidRPr="00291A15">
        <w:rPr>
          <w:rFonts w:ascii="Times New Roman" w:eastAsia="標楷體" w:hAnsi="Times New Roman" w:hint="eastAsia"/>
          <w:sz w:val="28"/>
          <w:szCs w:val="28"/>
          <w:shd w:val="clear" w:color="auto" w:fill="FBE4D5" w:themeFill="accent2" w:themeFillTint="33"/>
        </w:rPr>
        <w:t>億元，</w:t>
      </w:r>
      <w:r w:rsidRPr="00291A15">
        <w:rPr>
          <w:rFonts w:ascii="Times New Roman" w:eastAsia="標楷體" w:hAnsi="Times New Roman" w:hint="eastAsia"/>
          <w:sz w:val="28"/>
          <w:szCs w:val="28"/>
          <w:shd w:val="clear" w:color="auto" w:fill="FBE4D5" w:themeFill="accent2" w:themeFillTint="33"/>
        </w:rPr>
        <w:t>2026</w:t>
      </w:r>
      <w:r w:rsidRPr="00291A15">
        <w:rPr>
          <w:rFonts w:ascii="Times New Roman" w:eastAsia="標楷體" w:hAnsi="Times New Roman" w:hint="eastAsia"/>
          <w:sz w:val="28"/>
          <w:szCs w:val="28"/>
          <w:shd w:val="clear" w:color="auto" w:fill="FBE4D5" w:themeFill="accent2" w:themeFillTint="33"/>
        </w:rPr>
        <w:t>年達</w:t>
      </w:r>
      <w:r w:rsidRPr="00291A15">
        <w:rPr>
          <w:rFonts w:ascii="Times New Roman" w:eastAsia="標楷體" w:hAnsi="Times New Roman" w:hint="eastAsia"/>
          <w:sz w:val="28"/>
          <w:szCs w:val="28"/>
          <w:shd w:val="clear" w:color="auto" w:fill="FBE4D5" w:themeFill="accent2" w:themeFillTint="33"/>
        </w:rPr>
        <w:t>104.38</w:t>
      </w:r>
      <w:r w:rsidRPr="00291A15">
        <w:rPr>
          <w:rFonts w:ascii="Times New Roman" w:eastAsia="標楷體" w:hAnsi="Times New Roman" w:hint="eastAsia"/>
          <w:sz w:val="28"/>
          <w:szCs w:val="28"/>
          <w:shd w:val="clear" w:color="auto" w:fill="FBE4D5" w:themeFill="accent2" w:themeFillTint="33"/>
        </w:rPr>
        <w:t>億元</w:t>
      </w:r>
      <w:r w:rsidRPr="00291A15">
        <w:rPr>
          <w:rFonts w:ascii="Times New Roman" w:eastAsia="標楷體" w:hAnsi="Times New Roman" w:hint="eastAsia"/>
          <w:sz w:val="28"/>
          <w:szCs w:val="28"/>
          <w:shd w:val="clear" w:color="auto" w:fill="FBE4D5" w:themeFill="accent2" w:themeFillTint="33"/>
        </w:rPr>
        <w:t>(</w:t>
      </w:r>
      <w:r w:rsidRPr="00291A15">
        <w:rPr>
          <w:rFonts w:ascii="Times New Roman" w:eastAsia="標楷體" w:hAnsi="Times New Roman" w:hint="eastAsia"/>
          <w:sz w:val="28"/>
          <w:szCs w:val="28"/>
          <w:shd w:val="clear" w:color="auto" w:fill="FBE4D5" w:themeFill="accent2" w:themeFillTint="33"/>
        </w:rPr>
        <w:t>包含總額內新醫療科技</w:t>
      </w:r>
      <w:r w:rsidRPr="00291A15">
        <w:rPr>
          <w:rFonts w:ascii="Times New Roman" w:eastAsia="標楷體" w:hAnsi="Times New Roman" w:hint="eastAsia"/>
          <w:sz w:val="28"/>
          <w:szCs w:val="28"/>
          <w:shd w:val="clear" w:color="auto" w:fill="FBE4D5" w:themeFill="accent2" w:themeFillTint="33"/>
        </w:rPr>
        <w:t>25.59</w:t>
      </w:r>
      <w:r w:rsidRPr="00291A15">
        <w:rPr>
          <w:rFonts w:ascii="Times New Roman" w:eastAsia="標楷體" w:hAnsi="Times New Roman" w:hint="eastAsia"/>
          <w:sz w:val="28"/>
          <w:szCs w:val="28"/>
          <w:shd w:val="clear" w:color="auto" w:fill="FBE4D5" w:themeFill="accent2" w:themeFillTint="33"/>
        </w:rPr>
        <w:t>億元、藥品給付規定範圍改變</w:t>
      </w:r>
      <w:r w:rsidRPr="00291A15">
        <w:rPr>
          <w:rFonts w:ascii="Times New Roman" w:eastAsia="標楷體" w:hAnsi="Times New Roman" w:hint="eastAsia"/>
          <w:sz w:val="28"/>
          <w:szCs w:val="28"/>
          <w:shd w:val="clear" w:color="auto" w:fill="FBE4D5" w:themeFill="accent2" w:themeFillTint="33"/>
        </w:rPr>
        <w:t>24.29</w:t>
      </w:r>
      <w:r w:rsidRPr="00291A15">
        <w:rPr>
          <w:rFonts w:ascii="Times New Roman" w:eastAsia="標楷體" w:hAnsi="Times New Roman" w:hint="eastAsia"/>
          <w:sz w:val="28"/>
          <w:szCs w:val="28"/>
          <w:shd w:val="clear" w:color="auto" w:fill="FBE4D5" w:themeFill="accent2" w:themeFillTint="33"/>
        </w:rPr>
        <w:t>億元及非癌藥之暫時性支付專款</w:t>
      </w:r>
      <w:r w:rsidRPr="00291A15">
        <w:rPr>
          <w:rFonts w:ascii="Times New Roman" w:eastAsia="標楷體" w:hAnsi="Times New Roman" w:hint="eastAsia"/>
          <w:sz w:val="28"/>
          <w:szCs w:val="28"/>
          <w:shd w:val="clear" w:color="auto" w:fill="FBE4D5" w:themeFill="accent2" w:themeFillTint="33"/>
        </w:rPr>
        <w:t>4.5</w:t>
      </w:r>
      <w:r w:rsidRPr="00291A15">
        <w:rPr>
          <w:rFonts w:ascii="Times New Roman" w:eastAsia="標楷體" w:hAnsi="Times New Roman" w:hint="eastAsia"/>
          <w:sz w:val="28"/>
          <w:szCs w:val="28"/>
          <w:shd w:val="clear" w:color="auto" w:fill="FBE4D5" w:themeFill="accent2" w:themeFillTint="33"/>
        </w:rPr>
        <w:t>億元；加上總額外公務預算挹注</w:t>
      </w:r>
      <w:r w:rsidRPr="00291A15">
        <w:rPr>
          <w:rFonts w:ascii="Times New Roman" w:eastAsia="標楷體" w:hAnsi="Times New Roman" w:hint="eastAsia"/>
          <w:sz w:val="28"/>
          <w:szCs w:val="28"/>
          <w:shd w:val="clear" w:color="auto" w:fill="FBE4D5" w:themeFill="accent2" w:themeFillTint="33"/>
        </w:rPr>
        <w:t>50</w:t>
      </w:r>
      <w:r w:rsidRPr="00291A15">
        <w:rPr>
          <w:rFonts w:ascii="Times New Roman" w:eastAsia="標楷體" w:hAnsi="Times New Roman" w:hint="eastAsia"/>
          <w:sz w:val="28"/>
          <w:szCs w:val="28"/>
          <w:shd w:val="clear" w:color="auto" w:fill="FBE4D5" w:themeFill="accent2" w:themeFillTint="33"/>
        </w:rPr>
        <w:t>億元至癌症新藥暫時性支付專</w:t>
      </w:r>
      <w:r w:rsidRPr="00291A15">
        <w:rPr>
          <w:rFonts w:ascii="Times New Roman" w:eastAsia="標楷體" w:hAnsi="Times New Roman" w:hint="eastAsia"/>
          <w:sz w:val="28"/>
          <w:szCs w:val="28"/>
          <w:shd w:val="clear" w:color="auto" w:fill="FBE4D5" w:themeFill="accent2" w:themeFillTint="33"/>
        </w:rPr>
        <w:lastRenderedPageBreak/>
        <w:t>款</w:t>
      </w:r>
      <w:r w:rsidRPr="00291A15">
        <w:rPr>
          <w:rFonts w:ascii="Times New Roman" w:eastAsia="標楷體" w:hAnsi="Times New Roman" w:hint="eastAsia"/>
          <w:sz w:val="28"/>
          <w:szCs w:val="28"/>
          <w:shd w:val="clear" w:color="auto" w:fill="FBE4D5" w:themeFill="accent2" w:themeFillTint="33"/>
        </w:rPr>
        <w:t>)</w:t>
      </w:r>
      <w:r w:rsidRPr="00291A15">
        <w:rPr>
          <w:rFonts w:ascii="Times New Roman" w:eastAsia="標楷體" w:hAnsi="Times New Roman" w:hint="eastAsia"/>
          <w:sz w:val="28"/>
          <w:szCs w:val="28"/>
          <w:shd w:val="clear" w:color="auto" w:fill="FBE4D5" w:themeFill="accent2" w:themeFillTint="33"/>
        </w:rPr>
        <w:t>，大幅增加新藥收載項目。</w:t>
      </w:r>
    </w:p>
    <w:p w:rsidR="00291A15" w:rsidRPr="00291A15" w:rsidRDefault="00291A15" w:rsidP="00291A15">
      <w:pPr>
        <w:pStyle w:val="a3"/>
        <w:numPr>
          <w:ilvl w:val="0"/>
          <w:numId w:val="37"/>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擴大新藥預算來源，</w:t>
      </w:r>
      <w:r w:rsidRPr="00291A15">
        <w:rPr>
          <w:rFonts w:ascii="Times New Roman" w:eastAsia="標楷體" w:hAnsi="Times New Roman" w:hint="eastAsia"/>
          <w:sz w:val="28"/>
          <w:szCs w:val="28"/>
          <w:shd w:val="clear" w:color="auto" w:fill="FBE4D5" w:themeFill="accent2" w:themeFillTint="33"/>
        </w:rPr>
        <w:t>2025</w:t>
      </w:r>
      <w:r w:rsidRPr="00291A15">
        <w:rPr>
          <w:rFonts w:ascii="Times New Roman" w:eastAsia="標楷體" w:hAnsi="Times New Roman" w:hint="eastAsia"/>
          <w:sz w:val="28"/>
          <w:szCs w:val="28"/>
          <w:shd w:val="clear" w:color="auto" w:fill="FBE4D5" w:themeFill="accent2" w:themeFillTint="33"/>
        </w:rPr>
        <w:t>年設立「癌症新藥暫時性支付專款」，</w:t>
      </w:r>
      <w:r w:rsidRPr="00291A15">
        <w:rPr>
          <w:rFonts w:ascii="Times New Roman" w:eastAsia="標楷體" w:hAnsi="Times New Roman" w:hint="eastAsia"/>
          <w:sz w:val="28"/>
          <w:szCs w:val="28"/>
          <w:shd w:val="clear" w:color="auto" w:fill="FBE4D5" w:themeFill="accent2" w:themeFillTint="33"/>
        </w:rPr>
        <w:t>2025</w:t>
      </w:r>
      <w:r w:rsidRPr="00291A15">
        <w:rPr>
          <w:rFonts w:ascii="Times New Roman" w:eastAsia="標楷體" w:hAnsi="Times New Roman" w:hint="eastAsia"/>
          <w:sz w:val="28"/>
          <w:szCs w:val="28"/>
          <w:shd w:val="clear" w:color="auto" w:fill="FBE4D5" w:themeFill="accent2" w:themeFillTint="33"/>
        </w:rPr>
        <w:t>及</w:t>
      </w:r>
      <w:r w:rsidRPr="00291A15">
        <w:rPr>
          <w:rFonts w:ascii="Times New Roman" w:eastAsia="標楷體" w:hAnsi="Times New Roman" w:hint="eastAsia"/>
          <w:sz w:val="28"/>
          <w:szCs w:val="28"/>
          <w:shd w:val="clear" w:color="auto" w:fill="FBE4D5" w:themeFill="accent2" w:themeFillTint="33"/>
        </w:rPr>
        <w:t>2026</w:t>
      </w:r>
      <w:r w:rsidRPr="00291A15">
        <w:rPr>
          <w:rFonts w:ascii="Times New Roman" w:eastAsia="標楷體" w:hAnsi="Times New Roman" w:hint="eastAsia"/>
          <w:sz w:val="28"/>
          <w:szCs w:val="28"/>
          <w:shd w:val="clear" w:color="auto" w:fill="FBE4D5" w:themeFill="accent2" w:themeFillTint="33"/>
        </w:rPr>
        <w:t>年各編列</w:t>
      </w:r>
      <w:r w:rsidRPr="00291A15">
        <w:rPr>
          <w:rFonts w:ascii="Times New Roman" w:eastAsia="標楷體" w:hAnsi="Times New Roman" w:hint="eastAsia"/>
          <w:sz w:val="28"/>
          <w:szCs w:val="28"/>
          <w:shd w:val="clear" w:color="auto" w:fill="FBE4D5" w:themeFill="accent2" w:themeFillTint="33"/>
        </w:rPr>
        <w:t>50</w:t>
      </w:r>
      <w:r w:rsidRPr="00291A15">
        <w:rPr>
          <w:rFonts w:ascii="Times New Roman" w:eastAsia="標楷體" w:hAnsi="Times New Roman" w:hint="eastAsia"/>
          <w:sz w:val="28"/>
          <w:szCs w:val="28"/>
          <w:shd w:val="clear" w:color="auto" w:fill="FBE4D5" w:themeFill="accent2" w:themeFillTint="33"/>
        </w:rPr>
        <w:t>億元。</w:t>
      </w:r>
      <w:r w:rsidRPr="00291A15">
        <w:rPr>
          <w:rFonts w:ascii="Times New Roman" w:eastAsia="標楷體" w:hAnsi="Times New Roman" w:hint="eastAsia"/>
          <w:sz w:val="28"/>
          <w:szCs w:val="28"/>
          <w:shd w:val="clear" w:color="auto" w:fill="FBE4D5" w:themeFill="accent2" w:themeFillTint="33"/>
        </w:rPr>
        <w:t>2025</w:t>
      </w:r>
      <w:r w:rsidRPr="00291A15">
        <w:rPr>
          <w:rFonts w:ascii="Times New Roman" w:eastAsia="標楷體" w:hAnsi="Times New Roman" w:hint="eastAsia"/>
          <w:sz w:val="28"/>
          <w:szCs w:val="28"/>
          <w:shd w:val="clear" w:color="auto" w:fill="FBE4D5" w:themeFill="accent2" w:themeFillTint="33"/>
        </w:rPr>
        <w:t>年透過癌症新藥暫時性支付專款，增加收載</w:t>
      </w:r>
      <w:r w:rsidRPr="00291A15">
        <w:rPr>
          <w:rFonts w:ascii="Times New Roman" w:eastAsia="標楷體" w:hAnsi="Times New Roman" w:hint="eastAsia"/>
          <w:sz w:val="28"/>
          <w:szCs w:val="28"/>
          <w:shd w:val="clear" w:color="auto" w:fill="FBE4D5" w:themeFill="accent2" w:themeFillTint="33"/>
        </w:rPr>
        <w:t>10</w:t>
      </w:r>
      <w:r w:rsidRPr="00291A15">
        <w:rPr>
          <w:rFonts w:ascii="Times New Roman" w:eastAsia="標楷體" w:hAnsi="Times New Roman" w:hint="eastAsia"/>
          <w:sz w:val="28"/>
          <w:szCs w:val="28"/>
          <w:shd w:val="clear" w:color="auto" w:fill="FBE4D5" w:themeFill="accent2" w:themeFillTint="33"/>
        </w:rPr>
        <w:t>項癌症新藥</w:t>
      </w:r>
      <w:r w:rsidRPr="00291A15">
        <w:rPr>
          <w:rFonts w:ascii="Times New Roman" w:eastAsia="標楷體" w:hAnsi="Times New Roman" w:hint="eastAsia"/>
          <w:sz w:val="28"/>
          <w:szCs w:val="28"/>
          <w:shd w:val="clear" w:color="auto" w:fill="FBE4D5" w:themeFill="accent2" w:themeFillTint="33"/>
        </w:rPr>
        <w:t>/</w:t>
      </w:r>
      <w:r w:rsidRPr="00291A15">
        <w:rPr>
          <w:rFonts w:ascii="Times New Roman" w:eastAsia="標楷體" w:hAnsi="Times New Roman" w:hint="eastAsia"/>
          <w:sz w:val="28"/>
          <w:szCs w:val="28"/>
          <w:shd w:val="clear" w:color="auto" w:fill="FBE4D5" w:themeFill="accent2" w:themeFillTint="33"/>
        </w:rPr>
        <w:t>擴增給付規定</w:t>
      </w:r>
      <w:r w:rsidRPr="00291A15">
        <w:rPr>
          <w:rFonts w:ascii="Times New Roman" w:eastAsia="標楷體" w:hAnsi="Times New Roman" w:hint="eastAsia"/>
          <w:sz w:val="28"/>
          <w:szCs w:val="28"/>
          <w:shd w:val="clear" w:color="auto" w:fill="FBE4D5" w:themeFill="accent2" w:themeFillTint="33"/>
        </w:rPr>
        <w:t>(</w:t>
      </w:r>
      <w:r w:rsidRPr="00291A15">
        <w:rPr>
          <w:rFonts w:ascii="Times New Roman" w:eastAsia="標楷體" w:hAnsi="Times New Roman" w:hint="eastAsia"/>
          <w:sz w:val="28"/>
          <w:szCs w:val="28"/>
          <w:shd w:val="clear" w:color="auto" w:fill="FBE4D5" w:themeFill="accent2" w:themeFillTint="33"/>
        </w:rPr>
        <w:t>涵蓋</w:t>
      </w:r>
      <w:r w:rsidRPr="00291A15">
        <w:rPr>
          <w:rFonts w:ascii="Times New Roman" w:eastAsia="標楷體" w:hAnsi="Times New Roman" w:hint="eastAsia"/>
          <w:sz w:val="28"/>
          <w:szCs w:val="28"/>
          <w:shd w:val="clear" w:color="auto" w:fill="FBE4D5" w:themeFill="accent2" w:themeFillTint="33"/>
        </w:rPr>
        <w:t>8</w:t>
      </w:r>
      <w:r w:rsidRPr="00291A15">
        <w:rPr>
          <w:rFonts w:ascii="Times New Roman" w:eastAsia="標楷體" w:hAnsi="Times New Roman" w:hint="eastAsia"/>
          <w:sz w:val="28"/>
          <w:szCs w:val="28"/>
          <w:shd w:val="clear" w:color="auto" w:fill="FBE4D5" w:themeFill="accent2" w:themeFillTint="33"/>
        </w:rPr>
        <w:t>種癌別</w:t>
      </w:r>
      <w:r w:rsidRPr="00291A15">
        <w:rPr>
          <w:rFonts w:ascii="Times New Roman" w:eastAsia="標楷體" w:hAnsi="Times New Roman" w:hint="eastAsia"/>
          <w:sz w:val="28"/>
          <w:szCs w:val="28"/>
          <w:shd w:val="clear" w:color="auto" w:fill="FBE4D5" w:themeFill="accent2" w:themeFillTint="33"/>
        </w:rPr>
        <w:t>)</w:t>
      </w:r>
      <w:r w:rsidRPr="00291A15">
        <w:rPr>
          <w:rFonts w:ascii="Times New Roman" w:eastAsia="標楷體" w:hAnsi="Times New Roman" w:hint="eastAsia"/>
          <w:sz w:val="28"/>
          <w:szCs w:val="28"/>
          <w:shd w:val="clear" w:color="auto" w:fill="FBE4D5" w:themeFill="accent2" w:themeFillTint="33"/>
        </w:rPr>
        <w:t>，加速接軌國際治療指引，提升病人新藥之可近性。</w:t>
      </w:r>
    </w:p>
    <w:p w:rsidR="00291A15" w:rsidRPr="00291A15" w:rsidRDefault="00291A15" w:rsidP="00291A15">
      <w:pPr>
        <w:pStyle w:val="a3"/>
        <w:numPr>
          <w:ilvl w:val="0"/>
          <w:numId w:val="22"/>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健保給付審查時程的進展情況：</w:t>
      </w:r>
    </w:p>
    <w:p w:rsidR="00291A15" w:rsidRPr="00291A15" w:rsidRDefault="00291A15" w:rsidP="00291A15">
      <w:pPr>
        <w:pStyle w:val="a3"/>
        <w:numPr>
          <w:ilvl w:val="0"/>
          <w:numId w:val="38"/>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自</w:t>
      </w:r>
      <w:r w:rsidRPr="00291A15">
        <w:rPr>
          <w:rFonts w:ascii="Times New Roman" w:eastAsia="標楷體" w:hAnsi="Times New Roman" w:hint="eastAsia"/>
          <w:sz w:val="28"/>
          <w:szCs w:val="28"/>
          <w:shd w:val="clear" w:color="auto" w:fill="FBE4D5" w:themeFill="accent2" w:themeFillTint="33"/>
        </w:rPr>
        <w:t>2024</w:t>
      </w:r>
      <w:r w:rsidRPr="00291A15">
        <w:rPr>
          <w:rFonts w:ascii="Times New Roman" w:eastAsia="標楷體" w:hAnsi="Times New Roman" w:hint="eastAsia"/>
          <w:sz w:val="28"/>
          <w:szCs w:val="28"/>
          <w:shd w:val="clear" w:color="auto" w:fill="FBE4D5" w:themeFill="accent2" w:themeFillTint="33"/>
        </w:rPr>
        <w:t>年起，透過</w:t>
      </w:r>
      <w:r w:rsidRPr="00291A15">
        <w:rPr>
          <w:rFonts w:ascii="Times New Roman" w:eastAsia="標楷體" w:hAnsi="Times New Roman" w:hint="eastAsia"/>
          <w:sz w:val="28"/>
          <w:szCs w:val="28"/>
          <w:shd w:val="clear" w:color="auto" w:fill="FBE4D5" w:themeFill="accent2" w:themeFillTint="33"/>
        </w:rPr>
        <w:t>CHPTA</w:t>
      </w:r>
      <w:r w:rsidRPr="00291A15">
        <w:rPr>
          <w:rFonts w:ascii="Times New Roman" w:eastAsia="標楷體" w:hAnsi="Times New Roman" w:hint="eastAsia"/>
          <w:sz w:val="28"/>
          <w:szCs w:val="28"/>
          <w:shd w:val="clear" w:color="auto" w:fill="FBE4D5" w:themeFill="accent2" w:themeFillTint="33"/>
        </w:rPr>
        <w:t>專責辦公室的輔助，</w:t>
      </w:r>
      <w:r w:rsidRPr="00291A15">
        <w:rPr>
          <w:rFonts w:ascii="Times New Roman" w:eastAsia="標楷體" w:hAnsi="Times New Roman" w:hint="eastAsia"/>
          <w:sz w:val="28"/>
          <w:szCs w:val="28"/>
          <w:shd w:val="clear" w:color="auto" w:fill="FBE4D5" w:themeFill="accent2" w:themeFillTint="33"/>
        </w:rPr>
        <w:t>2024</w:t>
      </w:r>
      <w:r w:rsidRPr="00291A15">
        <w:rPr>
          <w:rFonts w:ascii="Times New Roman" w:eastAsia="標楷體" w:hAnsi="Times New Roman" w:hint="eastAsia"/>
          <w:sz w:val="28"/>
          <w:szCs w:val="28"/>
          <w:shd w:val="clear" w:color="auto" w:fill="FBE4D5" w:themeFill="accent2" w:themeFillTint="33"/>
        </w:rPr>
        <w:t>年及</w:t>
      </w:r>
      <w:r w:rsidRPr="00291A15">
        <w:rPr>
          <w:rFonts w:ascii="Times New Roman" w:eastAsia="標楷體" w:hAnsi="Times New Roman" w:hint="eastAsia"/>
          <w:sz w:val="28"/>
          <w:szCs w:val="28"/>
          <w:shd w:val="clear" w:color="auto" w:fill="FBE4D5" w:themeFill="accent2" w:themeFillTint="33"/>
        </w:rPr>
        <w:t>2025</w:t>
      </w:r>
      <w:r w:rsidRPr="00291A15">
        <w:rPr>
          <w:rFonts w:ascii="Times New Roman" w:eastAsia="標楷體" w:hAnsi="Times New Roman" w:hint="eastAsia"/>
          <w:sz w:val="28"/>
          <w:szCs w:val="28"/>
          <w:shd w:val="clear" w:color="auto" w:fill="FBE4D5" w:themeFill="accent2" w:themeFillTint="33"/>
        </w:rPr>
        <w:t>年廠商送件到提第一次專家會議的平均天數為</w:t>
      </w:r>
      <w:r w:rsidRPr="00291A15">
        <w:rPr>
          <w:rFonts w:ascii="Times New Roman" w:eastAsia="標楷體" w:hAnsi="Times New Roman" w:hint="eastAsia"/>
          <w:sz w:val="28"/>
          <w:szCs w:val="28"/>
          <w:shd w:val="clear" w:color="auto" w:fill="FBE4D5" w:themeFill="accent2" w:themeFillTint="33"/>
        </w:rPr>
        <w:t>3.7~3.9</w:t>
      </w:r>
      <w:r w:rsidRPr="00291A15">
        <w:rPr>
          <w:rFonts w:ascii="Times New Roman" w:eastAsia="標楷體" w:hAnsi="Times New Roman" w:hint="eastAsia"/>
          <w:sz w:val="28"/>
          <w:szCs w:val="28"/>
          <w:shd w:val="clear" w:color="auto" w:fill="FBE4D5" w:themeFill="accent2" w:themeFillTint="33"/>
        </w:rPr>
        <w:t>個月，相較</w:t>
      </w:r>
      <w:r w:rsidRPr="00291A15">
        <w:rPr>
          <w:rFonts w:ascii="Times New Roman" w:eastAsia="標楷體" w:hAnsi="Times New Roman" w:hint="eastAsia"/>
          <w:sz w:val="28"/>
          <w:szCs w:val="28"/>
          <w:shd w:val="clear" w:color="auto" w:fill="FBE4D5" w:themeFill="accent2" w:themeFillTint="33"/>
        </w:rPr>
        <w:t>112</w:t>
      </w:r>
      <w:r w:rsidRPr="00291A15">
        <w:rPr>
          <w:rFonts w:ascii="Times New Roman" w:eastAsia="標楷體" w:hAnsi="Times New Roman" w:hint="eastAsia"/>
          <w:sz w:val="28"/>
          <w:szCs w:val="28"/>
          <w:shd w:val="clear" w:color="auto" w:fill="FBE4D5" w:themeFill="accent2" w:themeFillTint="33"/>
        </w:rPr>
        <w:t>年</w:t>
      </w:r>
      <w:r w:rsidRPr="00291A15">
        <w:rPr>
          <w:rFonts w:ascii="Times New Roman" w:eastAsia="標楷體" w:hAnsi="Times New Roman" w:hint="eastAsia"/>
          <w:sz w:val="28"/>
          <w:szCs w:val="28"/>
          <w:shd w:val="clear" w:color="auto" w:fill="FBE4D5" w:themeFill="accent2" w:themeFillTint="33"/>
        </w:rPr>
        <w:t>4.3</w:t>
      </w:r>
      <w:r w:rsidRPr="00291A15">
        <w:rPr>
          <w:rFonts w:ascii="Times New Roman" w:eastAsia="標楷體" w:hAnsi="Times New Roman" w:hint="eastAsia"/>
          <w:sz w:val="28"/>
          <w:szCs w:val="28"/>
          <w:shd w:val="clear" w:color="auto" w:fill="FBE4D5" w:themeFill="accent2" w:themeFillTint="33"/>
        </w:rPr>
        <w:t>個月，有顯著提升。</w:t>
      </w:r>
    </w:p>
    <w:p w:rsidR="00291A15" w:rsidRPr="00291A15" w:rsidRDefault="00291A15" w:rsidP="00291A15">
      <w:pPr>
        <w:pStyle w:val="a3"/>
        <w:numPr>
          <w:ilvl w:val="0"/>
          <w:numId w:val="38"/>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自</w:t>
      </w:r>
      <w:r w:rsidRPr="00291A15">
        <w:rPr>
          <w:rFonts w:ascii="Times New Roman" w:eastAsia="標楷體" w:hAnsi="Times New Roman" w:hint="eastAsia"/>
          <w:sz w:val="28"/>
          <w:szCs w:val="28"/>
          <w:shd w:val="clear" w:color="auto" w:fill="FBE4D5" w:themeFill="accent2" w:themeFillTint="33"/>
        </w:rPr>
        <w:t>2024</w:t>
      </w:r>
      <w:r w:rsidRPr="00291A15">
        <w:rPr>
          <w:rFonts w:ascii="Times New Roman" w:eastAsia="標楷體" w:hAnsi="Times New Roman" w:hint="eastAsia"/>
          <w:sz w:val="28"/>
          <w:szCs w:val="28"/>
          <w:shd w:val="clear" w:color="auto" w:fill="FBE4D5" w:themeFill="accent2" w:themeFillTint="33"/>
        </w:rPr>
        <w:t>年平行送審機制推行後，截至</w:t>
      </w:r>
      <w:r w:rsidRPr="00291A15">
        <w:rPr>
          <w:rFonts w:ascii="Times New Roman" w:eastAsia="標楷體" w:hAnsi="Times New Roman" w:hint="eastAsia"/>
          <w:sz w:val="28"/>
          <w:szCs w:val="28"/>
          <w:shd w:val="clear" w:color="auto" w:fill="FBE4D5" w:themeFill="accent2" w:themeFillTint="33"/>
        </w:rPr>
        <w:t>2026</w:t>
      </w:r>
      <w:r w:rsidRPr="00291A15">
        <w:rPr>
          <w:rFonts w:ascii="Times New Roman" w:eastAsia="標楷體" w:hAnsi="Times New Roman" w:hint="eastAsia"/>
          <w:sz w:val="28"/>
          <w:szCs w:val="28"/>
          <w:shd w:val="clear" w:color="auto" w:fill="FBE4D5" w:themeFill="accent2" w:themeFillTint="33"/>
        </w:rPr>
        <w:t>年</w:t>
      </w:r>
      <w:r w:rsidRPr="00291A15">
        <w:rPr>
          <w:rFonts w:ascii="Times New Roman" w:eastAsia="標楷體" w:hAnsi="Times New Roman" w:hint="eastAsia"/>
          <w:sz w:val="28"/>
          <w:szCs w:val="28"/>
          <w:shd w:val="clear" w:color="auto" w:fill="FBE4D5" w:themeFill="accent2" w:themeFillTint="33"/>
        </w:rPr>
        <w:t>5</w:t>
      </w:r>
      <w:r w:rsidRPr="00291A15">
        <w:rPr>
          <w:rFonts w:ascii="Times New Roman" w:eastAsia="標楷體" w:hAnsi="Times New Roman" w:hint="eastAsia"/>
          <w:sz w:val="28"/>
          <w:szCs w:val="28"/>
          <w:shd w:val="clear" w:color="auto" w:fill="FBE4D5" w:themeFill="accent2" w:themeFillTint="33"/>
        </w:rPr>
        <w:t>月，共</w:t>
      </w:r>
      <w:r w:rsidRPr="00291A15">
        <w:rPr>
          <w:rFonts w:ascii="Times New Roman" w:eastAsia="標楷體" w:hAnsi="Times New Roman" w:hint="eastAsia"/>
          <w:sz w:val="28"/>
          <w:szCs w:val="28"/>
          <w:shd w:val="clear" w:color="auto" w:fill="FBE4D5" w:themeFill="accent2" w:themeFillTint="33"/>
        </w:rPr>
        <w:t>8</w:t>
      </w:r>
      <w:r w:rsidRPr="00291A15">
        <w:rPr>
          <w:rFonts w:ascii="Times New Roman" w:eastAsia="標楷體" w:hAnsi="Times New Roman" w:hint="eastAsia"/>
          <w:sz w:val="28"/>
          <w:szCs w:val="28"/>
          <w:shd w:val="clear" w:color="auto" w:fill="FBE4D5" w:themeFill="accent2" w:themeFillTint="33"/>
        </w:rPr>
        <w:t>項新藥採平行送審公告生效給付，自取得藥證至生效之中位數約</w:t>
      </w:r>
      <w:r w:rsidRPr="00291A15">
        <w:rPr>
          <w:rFonts w:ascii="Times New Roman" w:eastAsia="標楷體" w:hAnsi="Times New Roman" w:hint="eastAsia"/>
          <w:sz w:val="28"/>
          <w:szCs w:val="28"/>
          <w:shd w:val="clear" w:color="auto" w:fill="FBE4D5" w:themeFill="accent2" w:themeFillTint="33"/>
        </w:rPr>
        <w:t>9.5</w:t>
      </w:r>
      <w:r w:rsidRPr="00291A15">
        <w:rPr>
          <w:rFonts w:ascii="Times New Roman" w:eastAsia="標楷體" w:hAnsi="Times New Roman" w:hint="eastAsia"/>
          <w:sz w:val="28"/>
          <w:szCs w:val="28"/>
          <w:shd w:val="clear" w:color="auto" w:fill="FBE4D5" w:themeFill="accent2" w:themeFillTint="33"/>
        </w:rPr>
        <w:t>個月</w:t>
      </w:r>
      <w:r w:rsidRPr="00291A15">
        <w:rPr>
          <w:rFonts w:ascii="Times New Roman" w:eastAsia="標楷體" w:hAnsi="Times New Roman" w:hint="eastAsia"/>
          <w:sz w:val="28"/>
          <w:szCs w:val="28"/>
          <w:shd w:val="clear" w:color="auto" w:fill="FBE4D5" w:themeFill="accent2" w:themeFillTint="33"/>
        </w:rPr>
        <w:t>(</w:t>
      </w:r>
      <w:r w:rsidRPr="00291A15">
        <w:rPr>
          <w:rFonts w:ascii="Times New Roman" w:eastAsia="標楷體" w:hAnsi="Times New Roman" w:hint="eastAsia"/>
          <w:sz w:val="28"/>
          <w:szCs w:val="28"/>
          <w:shd w:val="clear" w:color="auto" w:fill="FBE4D5" w:themeFill="accent2" w:themeFillTint="33"/>
        </w:rPr>
        <w:t>最短為約</w:t>
      </w:r>
      <w:r w:rsidRPr="00291A15">
        <w:rPr>
          <w:rFonts w:ascii="Times New Roman" w:eastAsia="標楷體" w:hAnsi="Times New Roman" w:hint="eastAsia"/>
          <w:sz w:val="28"/>
          <w:szCs w:val="28"/>
          <w:shd w:val="clear" w:color="auto" w:fill="FBE4D5" w:themeFill="accent2" w:themeFillTint="33"/>
        </w:rPr>
        <w:t>3.5</w:t>
      </w:r>
      <w:r w:rsidRPr="00291A15">
        <w:rPr>
          <w:rFonts w:ascii="Times New Roman" w:eastAsia="標楷體" w:hAnsi="Times New Roman" w:hint="eastAsia"/>
          <w:sz w:val="28"/>
          <w:szCs w:val="28"/>
          <w:shd w:val="clear" w:color="auto" w:fill="FBE4D5" w:themeFill="accent2" w:themeFillTint="33"/>
        </w:rPr>
        <w:t>個月</w:t>
      </w:r>
      <w:r w:rsidRPr="00291A15">
        <w:rPr>
          <w:rFonts w:ascii="Times New Roman" w:eastAsia="標楷體" w:hAnsi="Times New Roman" w:hint="eastAsia"/>
          <w:sz w:val="28"/>
          <w:szCs w:val="28"/>
          <w:shd w:val="clear" w:color="auto" w:fill="FBE4D5" w:themeFill="accent2" w:themeFillTint="33"/>
        </w:rPr>
        <w:t>)</w:t>
      </w:r>
      <w:r w:rsidRPr="00291A15">
        <w:rPr>
          <w:rFonts w:ascii="Times New Roman" w:eastAsia="標楷體" w:hAnsi="Times New Roman" w:hint="eastAsia"/>
          <w:sz w:val="28"/>
          <w:szCs w:val="28"/>
          <w:shd w:val="clear" w:color="auto" w:fill="FBE4D5" w:themeFill="accent2" w:themeFillTint="33"/>
        </w:rPr>
        <w:t>。</w:t>
      </w:r>
    </w:p>
    <w:p w:rsidR="00291A15" w:rsidRPr="00291A15" w:rsidRDefault="00291A15" w:rsidP="00291A15">
      <w:pPr>
        <w:pStyle w:val="a3"/>
        <w:numPr>
          <w:ilvl w:val="0"/>
          <w:numId w:val="38"/>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癌症新藥暫時性支付：</w:t>
      </w:r>
      <w:r w:rsidRPr="00291A15">
        <w:rPr>
          <w:rFonts w:ascii="Times New Roman" w:eastAsia="標楷體" w:hAnsi="Times New Roman" w:hint="eastAsia"/>
          <w:sz w:val="28"/>
          <w:szCs w:val="28"/>
          <w:shd w:val="clear" w:color="auto" w:fill="FBE4D5" w:themeFill="accent2" w:themeFillTint="33"/>
        </w:rPr>
        <w:t>2025</w:t>
      </w:r>
      <w:r w:rsidRPr="00291A15">
        <w:rPr>
          <w:rFonts w:ascii="Times New Roman" w:eastAsia="標楷體" w:hAnsi="Times New Roman" w:hint="eastAsia"/>
          <w:sz w:val="28"/>
          <w:szCs w:val="28"/>
          <w:shd w:val="clear" w:color="auto" w:fill="FBE4D5" w:themeFill="accent2" w:themeFillTint="33"/>
        </w:rPr>
        <w:t>年透過癌症新藥暫時性支付專款共收載</w:t>
      </w:r>
      <w:r w:rsidRPr="00291A15">
        <w:rPr>
          <w:rFonts w:ascii="Times New Roman" w:eastAsia="標楷體" w:hAnsi="Times New Roman" w:hint="eastAsia"/>
          <w:sz w:val="28"/>
          <w:szCs w:val="28"/>
          <w:shd w:val="clear" w:color="auto" w:fill="FBE4D5" w:themeFill="accent2" w:themeFillTint="33"/>
        </w:rPr>
        <w:t>10</w:t>
      </w:r>
      <w:r w:rsidRPr="00291A15">
        <w:rPr>
          <w:rFonts w:ascii="Times New Roman" w:eastAsia="標楷體" w:hAnsi="Times New Roman" w:hint="eastAsia"/>
          <w:sz w:val="28"/>
          <w:szCs w:val="28"/>
          <w:shd w:val="clear" w:color="auto" w:fill="FBE4D5" w:themeFill="accent2" w:themeFillTint="33"/>
        </w:rPr>
        <w:t>項藥品，其中</w:t>
      </w:r>
      <w:r w:rsidRPr="00291A15">
        <w:rPr>
          <w:rFonts w:ascii="Times New Roman" w:eastAsia="標楷體" w:hAnsi="Times New Roman" w:hint="eastAsia"/>
          <w:sz w:val="28"/>
          <w:szCs w:val="28"/>
          <w:shd w:val="clear" w:color="auto" w:fill="FBE4D5" w:themeFill="accent2" w:themeFillTint="33"/>
        </w:rPr>
        <w:t>8</w:t>
      </w:r>
      <w:r w:rsidRPr="00291A15">
        <w:rPr>
          <w:rFonts w:ascii="Times New Roman" w:eastAsia="標楷體" w:hAnsi="Times New Roman" w:hint="eastAsia"/>
          <w:sz w:val="28"/>
          <w:szCs w:val="28"/>
          <w:shd w:val="clear" w:color="auto" w:fill="FBE4D5" w:themeFill="accent2" w:themeFillTint="33"/>
        </w:rPr>
        <w:t>項為食藥署查驗登記加速核准案件，且其中</w:t>
      </w:r>
      <w:r w:rsidRPr="00291A15">
        <w:rPr>
          <w:rFonts w:ascii="Times New Roman" w:eastAsia="標楷體" w:hAnsi="Times New Roman" w:hint="eastAsia"/>
          <w:sz w:val="28"/>
          <w:szCs w:val="28"/>
          <w:shd w:val="clear" w:color="auto" w:fill="FBE4D5" w:themeFill="accent2" w:themeFillTint="33"/>
        </w:rPr>
        <w:t>6</w:t>
      </w:r>
      <w:r w:rsidRPr="00291A15">
        <w:rPr>
          <w:rFonts w:ascii="Times New Roman" w:eastAsia="標楷體" w:hAnsi="Times New Roman" w:hint="eastAsia"/>
          <w:sz w:val="28"/>
          <w:szCs w:val="28"/>
          <w:shd w:val="clear" w:color="auto" w:fill="FBE4D5" w:themeFill="accent2" w:themeFillTint="33"/>
        </w:rPr>
        <w:t>項藥品三大</w:t>
      </w:r>
      <w:r w:rsidRPr="00291A15">
        <w:rPr>
          <w:rFonts w:ascii="Times New Roman" w:eastAsia="標楷體" w:hAnsi="Times New Roman" w:hint="eastAsia"/>
          <w:sz w:val="28"/>
          <w:szCs w:val="28"/>
          <w:shd w:val="clear" w:color="auto" w:fill="FBE4D5" w:themeFill="accent2" w:themeFillTint="33"/>
        </w:rPr>
        <w:t>HTA</w:t>
      </w:r>
      <w:r w:rsidRPr="00291A15">
        <w:rPr>
          <w:rFonts w:ascii="Times New Roman" w:eastAsia="標楷體" w:hAnsi="Times New Roman" w:hint="eastAsia"/>
          <w:sz w:val="28"/>
          <w:szCs w:val="28"/>
          <w:shd w:val="clear" w:color="auto" w:fill="FBE4D5" w:themeFill="accent2" w:themeFillTint="33"/>
        </w:rPr>
        <w:t>組織並未皆建議，健保給付先於十國。</w:t>
      </w:r>
    </w:p>
    <w:p w:rsidR="00D25989" w:rsidRPr="00291A15" w:rsidRDefault="00291A15" w:rsidP="00291A15">
      <w:pPr>
        <w:pStyle w:val="a3"/>
        <w:numPr>
          <w:ilvl w:val="0"/>
          <w:numId w:val="22"/>
        </w:numPr>
        <w:adjustRightInd w:val="0"/>
        <w:snapToGrid w:val="0"/>
        <w:spacing w:after="0" w:line="400" w:lineRule="exact"/>
        <w:jc w:val="both"/>
        <w:rPr>
          <w:rFonts w:ascii="Times New Roman" w:eastAsia="標楷體" w:hAnsi="Times New Roman" w:hint="eastAsia"/>
          <w:sz w:val="28"/>
          <w:szCs w:val="28"/>
          <w:shd w:val="clear" w:color="auto" w:fill="FBE4D5" w:themeFill="accent2" w:themeFillTint="33"/>
        </w:rPr>
      </w:pPr>
      <w:r w:rsidRPr="00291A15">
        <w:rPr>
          <w:rFonts w:ascii="Times New Roman" w:eastAsia="標楷體" w:hAnsi="Times New Roman" w:hint="eastAsia"/>
          <w:sz w:val="28"/>
          <w:szCs w:val="28"/>
          <w:shd w:val="clear" w:color="auto" w:fill="FBE4D5" w:themeFill="accent2" w:themeFillTint="33"/>
        </w:rPr>
        <w:t>健保署將持續精進新藥納入健保收載流程，並期透過成立行政法人國家醫療科技評估中心，強化我國醫療科技評估人才及量能，提升國人用藥可近性。</w:t>
      </w:r>
    </w:p>
    <w:p w:rsidR="0015590C" w:rsidRPr="00C81B60" w:rsidRDefault="0015590C" w:rsidP="00291A15">
      <w:pPr>
        <w:pStyle w:val="a3"/>
        <w:numPr>
          <w:ilvl w:val="0"/>
          <w:numId w:val="22"/>
        </w:numPr>
        <w:adjustRightInd w:val="0"/>
        <w:snapToGrid w:val="0"/>
        <w:spacing w:after="0" w:line="400" w:lineRule="exact"/>
        <w:ind w:left="851" w:hanging="284"/>
        <w:jc w:val="both"/>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藥品方面：</w:t>
      </w:r>
    </w:p>
    <w:p w:rsidR="0015590C" w:rsidRPr="00C81B60" w:rsidRDefault="00D25989" w:rsidP="00291A15">
      <w:pPr>
        <w:pStyle w:val="a3"/>
        <w:numPr>
          <w:ilvl w:val="0"/>
          <w:numId w:val="28"/>
        </w:numPr>
        <w:adjustRightInd w:val="0"/>
        <w:snapToGrid w:val="0"/>
        <w:spacing w:after="0" w:line="400" w:lineRule="exact"/>
        <w:jc w:val="both"/>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為加速新藥引進及擴增藥品給付規定，健保署積極爭取相關預算，</w:t>
      </w:r>
      <w:r w:rsidRPr="00C81B60">
        <w:rPr>
          <w:rFonts w:ascii="Times New Roman" w:eastAsia="標楷體" w:hAnsi="Times New Roman"/>
          <w:sz w:val="28"/>
          <w:szCs w:val="28"/>
          <w:shd w:val="clear" w:color="auto" w:fill="FBE4D5" w:themeFill="accent2" w:themeFillTint="33"/>
        </w:rPr>
        <w:t>115</w:t>
      </w:r>
      <w:r w:rsidRPr="00C81B60">
        <w:rPr>
          <w:rFonts w:ascii="Times New Roman" w:eastAsia="標楷體" w:hAnsi="Times New Roman"/>
          <w:sz w:val="28"/>
          <w:szCs w:val="28"/>
          <w:shd w:val="clear" w:color="auto" w:fill="FBE4D5" w:themeFill="accent2" w:themeFillTint="33"/>
        </w:rPr>
        <w:t>年新醫療科技新藥、藥品給付規定改變及非癌症新藥暫時性支付專款預算，共計編列</w:t>
      </w:r>
      <w:r w:rsidRPr="00C81B60">
        <w:rPr>
          <w:rFonts w:ascii="Times New Roman" w:eastAsia="標楷體" w:hAnsi="Times New Roman"/>
          <w:sz w:val="28"/>
          <w:szCs w:val="28"/>
          <w:shd w:val="clear" w:color="auto" w:fill="FBE4D5" w:themeFill="accent2" w:themeFillTint="33"/>
        </w:rPr>
        <w:t>54.38</w:t>
      </w:r>
      <w:r w:rsidRPr="00C81B60">
        <w:rPr>
          <w:rFonts w:ascii="Times New Roman" w:eastAsia="標楷體" w:hAnsi="Times New Roman"/>
          <w:sz w:val="28"/>
          <w:szCs w:val="28"/>
          <w:shd w:val="clear" w:color="auto" w:fill="FBE4D5" w:themeFill="accent2" w:themeFillTint="33"/>
        </w:rPr>
        <w:t>億元。另以公務預算挹注</w:t>
      </w:r>
      <w:r w:rsidRPr="00C81B60">
        <w:rPr>
          <w:rFonts w:ascii="Times New Roman" w:eastAsia="標楷體" w:hAnsi="Times New Roman"/>
          <w:sz w:val="28"/>
          <w:szCs w:val="28"/>
          <w:shd w:val="clear" w:color="auto" w:fill="FBE4D5" w:themeFill="accent2" w:themeFillTint="33"/>
        </w:rPr>
        <w:t>50</w:t>
      </w:r>
      <w:r w:rsidRPr="00C81B60">
        <w:rPr>
          <w:rFonts w:ascii="Times New Roman" w:eastAsia="標楷體" w:hAnsi="Times New Roman"/>
          <w:sz w:val="28"/>
          <w:szCs w:val="28"/>
          <w:shd w:val="clear" w:color="auto" w:fill="FBE4D5" w:themeFill="accent2" w:themeFillTint="33"/>
        </w:rPr>
        <w:t>億元用於癌症新藥暫時性支付專款。確保藥費支出在健保總額可接受的範圍內穩定增長。同時，亦設立如罕藥及血友病專款、愛滋病、</w:t>
      </w:r>
      <w:r w:rsidRPr="00C81B60">
        <w:rPr>
          <w:rFonts w:ascii="Times New Roman" w:eastAsia="標楷體" w:hAnsi="Times New Roman"/>
          <w:sz w:val="28"/>
          <w:szCs w:val="28"/>
          <w:shd w:val="clear" w:color="auto" w:fill="FBE4D5" w:themeFill="accent2" w:themeFillTint="33"/>
        </w:rPr>
        <w:t>C</w:t>
      </w:r>
      <w:r w:rsidRPr="00C81B60">
        <w:rPr>
          <w:rFonts w:ascii="Times New Roman" w:eastAsia="標楷體" w:hAnsi="Times New Roman"/>
          <w:sz w:val="28"/>
          <w:szCs w:val="28"/>
          <w:shd w:val="clear" w:color="auto" w:fill="FBE4D5" w:themeFill="accent2" w:themeFillTint="33"/>
        </w:rPr>
        <w:t>肝口服新藥及暫時性支付專款等，透過「專款專用」保障重大醫療支出或特殊醫療者需求，並提高健保財政之彈性與穩定性。</w:t>
      </w:r>
    </w:p>
    <w:p w:rsidR="00D25989" w:rsidRPr="00C81B60" w:rsidRDefault="00D25989" w:rsidP="00291A15">
      <w:pPr>
        <w:pStyle w:val="a3"/>
        <w:numPr>
          <w:ilvl w:val="0"/>
          <w:numId w:val="28"/>
        </w:numPr>
        <w:adjustRightInd w:val="0"/>
        <w:snapToGrid w:val="0"/>
        <w:spacing w:after="0" w:line="400" w:lineRule="exact"/>
        <w:jc w:val="both"/>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透過提升學名藥與生物相似藥使用率、實施專利到期之藥價調整，以及落實既有藥品的臨床價值再評估，持續監測追蹤已給付藥品，將低效益的醫療科技系統化轉移到高效益的介入措施及醫療科技，使醫療資源再配置的過程達到最大效率化，讓健保資源配置更具效率與永續性。</w:t>
      </w:r>
    </w:p>
    <w:p w:rsidR="0015590C" w:rsidRPr="00C81B60" w:rsidRDefault="0015590C" w:rsidP="00291A15">
      <w:pPr>
        <w:pStyle w:val="a3"/>
        <w:numPr>
          <w:ilvl w:val="0"/>
          <w:numId w:val="22"/>
        </w:numPr>
        <w:adjustRightInd w:val="0"/>
        <w:snapToGrid w:val="0"/>
        <w:spacing w:after="0" w:line="400" w:lineRule="exact"/>
        <w:ind w:left="851" w:hanging="284"/>
        <w:jc w:val="both"/>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lastRenderedPageBreak/>
        <w:t>特材方面：</w:t>
      </w:r>
    </w:p>
    <w:p w:rsidR="0015590C" w:rsidRPr="00C81B60" w:rsidRDefault="0015590C" w:rsidP="00291A15">
      <w:pPr>
        <w:pStyle w:val="a3"/>
        <w:numPr>
          <w:ilvl w:val="0"/>
          <w:numId w:val="32"/>
        </w:numPr>
        <w:adjustRightInd w:val="0"/>
        <w:snapToGrid w:val="0"/>
        <w:spacing w:after="0" w:line="400" w:lineRule="exact"/>
        <w:ind w:left="1333" w:hanging="482"/>
        <w:jc w:val="both"/>
        <w:rPr>
          <w:rFonts w:ascii="Times New Roman" w:eastAsia="標楷體" w:hAnsi="Times New Roman"/>
          <w:color w:val="000000"/>
          <w:sz w:val="28"/>
          <w:szCs w:val="28"/>
          <w:shd w:val="clear" w:color="auto" w:fill="FBE4D5" w:themeFill="accent2" w:themeFillTint="33"/>
        </w:rPr>
      </w:pPr>
      <w:r w:rsidRPr="00C81B60">
        <w:rPr>
          <w:rFonts w:ascii="Times New Roman" w:eastAsia="標楷體" w:hAnsi="Times New Roman"/>
          <w:color w:val="000000"/>
          <w:sz w:val="28"/>
          <w:szCs w:val="28"/>
          <w:shd w:val="clear" w:color="auto" w:fill="FBE4D5" w:themeFill="accent2" w:themeFillTint="33"/>
        </w:rPr>
        <w:t>健保強調「依實證合理給付」，於新醫療科技收載前導入醫療科技評估（</w:t>
      </w:r>
      <w:r w:rsidRPr="00C81B60">
        <w:rPr>
          <w:rFonts w:ascii="Times New Roman" w:eastAsia="標楷體" w:hAnsi="Times New Roman"/>
          <w:color w:val="000000"/>
          <w:sz w:val="28"/>
          <w:szCs w:val="28"/>
          <w:shd w:val="clear" w:color="auto" w:fill="FBE4D5" w:themeFill="accent2" w:themeFillTint="33"/>
        </w:rPr>
        <w:t>HTA</w:t>
      </w:r>
      <w:r w:rsidRPr="00C81B60">
        <w:rPr>
          <w:rFonts w:ascii="Times New Roman" w:eastAsia="標楷體" w:hAnsi="Times New Roman"/>
          <w:color w:val="000000"/>
          <w:sz w:val="28"/>
          <w:szCs w:val="28"/>
          <w:shd w:val="clear" w:color="auto" w:fill="FBE4D5" w:themeFill="accent2" w:themeFillTint="33"/>
        </w:rPr>
        <w:t>），就人體健康、醫療倫理、成本效益及健保財務等面向進行系統性評估，以作為納入健保給付之決策依據，逐步強化醫療科技管理（</w:t>
      </w:r>
      <w:r w:rsidRPr="00C81B60">
        <w:rPr>
          <w:rFonts w:ascii="Times New Roman" w:eastAsia="標楷體" w:hAnsi="Times New Roman"/>
          <w:color w:val="000000"/>
          <w:sz w:val="28"/>
          <w:szCs w:val="28"/>
          <w:shd w:val="clear" w:color="auto" w:fill="FBE4D5" w:themeFill="accent2" w:themeFillTint="33"/>
        </w:rPr>
        <w:t>HTM</w:t>
      </w:r>
      <w:r w:rsidRPr="00C81B60">
        <w:rPr>
          <w:rFonts w:ascii="Times New Roman" w:eastAsia="標楷體" w:hAnsi="Times New Roman"/>
          <w:color w:val="000000"/>
          <w:sz w:val="28"/>
          <w:szCs w:val="28"/>
          <w:shd w:val="clear" w:color="auto" w:fill="FBE4D5" w:themeFill="accent2" w:themeFillTint="33"/>
        </w:rPr>
        <w:t>）架構，建立以給付效益為核心之循環式管理機制。</w:t>
      </w:r>
    </w:p>
    <w:p w:rsidR="0015590C" w:rsidRPr="00C81B60" w:rsidRDefault="0015590C" w:rsidP="00291A15">
      <w:pPr>
        <w:pStyle w:val="a3"/>
        <w:numPr>
          <w:ilvl w:val="0"/>
          <w:numId w:val="32"/>
        </w:numPr>
        <w:adjustRightInd w:val="0"/>
        <w:snapToGrid w:val="0"/>
        <w:spacing w:after="0" w:line="400" w:lineRule="exact"/>
        <w:jc w:val="both"/>
        <w:rPr>
          <w:rFonts w:ascii="Times New Roman" w:eastAsia="標楷體" w:hAnsi="Times New Roman"/>
          <w:sz w:val="28"/>
          <w:szCs w:val="28"/>
          <w:shd w:val="clear" w:color="auto" w:fill="FBE4D5" w:themeFill="accent2" w:themeFillTint="33"/>
        </w:rPr>
      </w:pPr>
      <w:r w:rsidRPr="00C81B60">
        <w:rPr>
          <w:rFonts w:ascii="Times New Roman" w:eastAsia="標楷體" w:hAnsi="Times New Roman"/>
          <w:sz w:val="28"/>
          <w:szCs w:val="28"/>
          <w:shd w:val="clear" w:color="auto" w:fill="FBE4D5" w:themeFill="accent2" w:themeFillTint="33"/>
        </w:rPr>
        <w:t>透過蒐集真實世界實證資料，對已收載項目進行醫療科技再評估（</w:t>
      </w:r>
      <w:r w:rsidRPr="00C81B60">
        <w:rPr>
          <w:rFonts w:ascii="Times New Roman" w:eastAsia="標楷體" w:hAnsi="Times New Roman"/>
          <w:sz w:val="28"/>
          <w:szCs w:val="28"/>
          <w:shd w:val="clear" w:color="auto" w:fill="FBE4D5" w:themeFill="accent2" w:themeFillTint="33"/>
        </w:rPr>
        <w:t>HTR</w:t>
      </w:r>
      <w:r w:rsidRPr="00C81B60">
        <w:rPr>
          <w:rFonts w:ascii="Times New Roman" w:eastAsia="標楷體" w:hAnsi="Times New Roman"/>
          <w:sz w:val="28"/>
          <w:szCs w:val="28"/>
          <w:shd w:val="clear" w:color="auto" w:fill="FBE4D5" w:themeFill="accent2" w:themeFillTint="33"/>
        </w:rPr>
        <w:t>），持續檢視臨床療效、安全性、成本效益及財務影響，形成自給付前評估至給付後再評估之循環管理，結合臨床實證與經濟評估，以提升健保資源配置效率與整體給付效益。</w:t>
      </w:r>
    </w:p>
    <w:p w:rsidR="0015590C" w:rsidRPr="0015590C" w:rsidRDefault="0015590C" w:rsidP="0015590C">
      <w:pPr>
        <w:pStyle w:val="a3"/>
        <w:adjustRightInd w:val="0"/>
        <w:snapToGrid w:val="0"/>
        <w:spacing w:after="0" w:line="440" w:lineRule="exact"/>
        <w:ind w:left="851"/>
        <w:jc w:val="both"/>
        <w:rPr>
          <w:rFonts w:ascii="Times New Roman" w:eastAsia="標楷體" w:hAnsi="Times New Roman"/>
          <w:sz w:val="28"/>
          <w:szCs w:val="28"/>
        </w:rPr>
      </w:pPr>
    </w:p>
    <w:p w:rsidR="0042416D" w:rsidRPr="00DB20D1" w:rsidRDefault="00F15B97" w:rsidP="00DB20D1">
      <w:pPr>
        <w:pStyle w:val="a3"/>
        <w:adjustRightInd w:val="0"/>
        <w:snapToGrid w:val="0"/>
        <w:spacing w:after="0" w:line="440" w:lineRule="exact"/>
        <w:ind w:left="900"/>
        <w:rPr>
          <w:rFonts w:ascii="Times New Roman" w:eastAsia="標楷體" w:hAnsi="Times New Roman"/>
          <w:sz w:val="28"/>
          <w:szCs w:val="28"/>
        </w:rPr>
      </w:pPr>
      <w:r w:rsidRPr="00DB20D1">
        <w:rPr>
          <w:rFonts w:ascii="Times New Roman" w:eastAsia="標楷體" w:hAnsi="Times New Roman"/>
          <w:color w:val="AEAAAA" w:themeColor="background2" w:themeShade="BF"/>
          <w:sz w:val="28"/>
          <w:szCs w:val="28"/>
        </w:rPr>
        <w:br/>
      </w:r>
      <w:r w:rsidRPr="00DB20D1">
        <w:rPr>
          <w:rFonts w:ascii="Times New Roman" w:eastAsia="標楷體" w:hAnsi="Times New Roman"/>
          <w:sz w:val="28"/>
          <w:szCs w:val="28"/>
        </w:rPr>
        <w:br/>
      </w:r>
    </w:p>
    <w:p w:rsidR="0042416D" w:rsidRPr="00C10786" w:rsidRDefault="0042416D">
      <w:pPr>
        <w:tabs>
          <w:tab w:val="left" w:pos="1476"/>
        </w:tabs>
        <w:rPr>
          <w:rFonts w:ascii="標楷體" w:eastAsia="標楷體" w:hAnsi="標楷體"/>
          <w:vanish/>
          <w:sz w:val="28"/>
          <w:szCs w:val="28"/>
          <w:lang w:eastAsia="zh-TW"/>
        </w:rPr>
      </w:pPr>
    </w:p>
    <w:sectPr w:rsidR="0042416D" w:rsidRPr="00C10786" w:rsidSect="00C81B60">
      <w:pgSz w:w="11906" w:h="16838"/>
      <w:pgMar w:top="1440" w:right="1558" w:bottom="1440" w:left="1701" w:header="720" w:footer="720" w:gutter="0"/>
      <w:cols w:space="720"/>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686E" w:rsidRDefault="00BA686E">
      <w:pPr>
        <w:spacing w:after="0" w:line="240" w:lineRule="auto"/>
      </w:pPr>
      <w:r>
        <w:separator/>
      </w:r>
    </w:p>
  </w:endnote>
  <w:endnote w:type="continuationSeparator" w:id="0">
    <w:p w:rsidR="00BA686E" w:rsidRDefault="00BA6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686E" w:rsidRDefault="00BA686E">
      <w:pPr>
        <w:spacing w:after="0" w:line="240" w:lineRule="auto"/>
      </w:pPr>
      <w:r>
        <w:rPr>
          <w:color w:val="000000"/>
        </w:rPr>
        <w:separator/>
      </w:r>
    </w:p>
  </w:footnote>
  <w:footnote w:type="continuationSeparator" w:id="0">
    <w:p w:rsidR="00BA686E" w:rsidRDefault="00BA6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25pt;height:11.25pt" o:bullet="t">
        <v:imagedata r:id="rId1" o:title=""/>
      </v:shape>
    </w:pict>
  </w:numPicBullet>
  <w:abstractNum w:abstractNumId="0" w15:restartNumberingAfterBreak="0">
    <w:nsid w:val="0AB909AB"/>
    <w:multiLevelType w:val="hybridMultilevel"/>
    <w:tmpl w:val="3E0A7598"/>
    <w:lvl w:ilvl="0" w:tplc="D6562D6A">
      <w:start w:val="1"/>
      <w:numFmt w:val="taiwaneseCountingThousand"/>
      <w:lvlText w:val="(%1)"/>
      <w:lvlJc w:val="left"/>
      <w:pPr>
        <w:ind w:left="480" w:hanging="480"/>
      </w:pPr>
      <w:rPr>
        <w:rFonts w:hint="eastAsia"/>
        <w:caps w:val="0"/>
        <w:strike w:val="0"/>
        <w:dstrike w:val="0"/>
        <w:vanish w:val="0"/>
        <w:color w:val="000000" w:themeColor="text1"/>
        <w:u w:val="none"/>
        <w:vertAlign w:val="baseline"/>
        <w:em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F30576"/>
    <w:multiLevelType w:val="hybridMultilevel"/>
    <w:tmpl w:val="4DA4223C"/>
    <w:lvl w:ilvl="0" w:tplc="4AF279F6">
      <w:start w:val="1"/>
      <w:numFmt w:val="decimal"/>
      <w:lvlText w:val="(%1)"/>
      <w:lvlJc w:val="left"/>
      <w:pPr>
        <w:ind w:left="1320" w:hanging="480"/>
      </w:pPr>
      <w:rPr>
        <w:rFonts w:hint="eastAsia"/>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2" w15:restartNumberingAfterBreak="0">
    <w:nsid w:val="0D0364FB"/>
    <w:multiLevelType w:val="multilevel"/>
    <w:tmpl w:val="65AE5A06"/>
    <w:lvl w:ilvl="0">
      <w:start w:val="1"/>
      <w:numFmt w:val="taiwaneseCountingThousand"/>
      <w:lvlText w:val="(%1)"/>
      <w:lvlJc w:val="left"/>
      <w:pPr>
        <w:ind w:left="480"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0D9C51DA"/>
    <w:multiLevelType w:val="multilevel"/>
    <w:tmpl w:val="C054FD5E"/>
    <w:lvl w:ilvl="0">
      <w:start w:val="1"/>
      <w:numFmt w:val="chineseCounting"/>
      <w:suff w:val="nothing"/>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10CF022F"/>
    <w:multiLevelType w:val="multilevel"/>
    <w:tmpl w:val="E736B0EA"/>
    <w:lvl w:ilvl="0">
      <w:start w:val="1"/>
      <w:numFmt w:val="taiwaneseCountingThousand"/>
      <w:lvlText w:val="(%1)"/>
      <w:lvlJc w:val="left"/>
      <w:pPr>
        <w:ind w:left="480"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18855F90"/>
    <w:multiLevelType w:val="hybridMultilevel"/>
    <w:tmpl w:val="A16AE3E2"/>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89A00C0"/>
    <w:multiLevelType w:val="hybridMultilevel"/>
    <w:tmpl w:val="4B766AAC"/>
    <w:lvl w:ilvl="0" w:tplc="73C6D086">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BCC1340"/>
    <w:multiLevelType w:val="multilevel"/>
    <w:tmpl w:val="49246CB2"/>
    <w:lvl w:ilvl="0">
      <w:numFmt w:val="bullet"/>
      <w:lvlText w:val=""/>
      <w:lvlJc w:val="left"/>
      <w:pPr>
        <w:ind w:left="480" w:hanging="480"/>
      </w:pPr>
      <w:rPr>
        <w:rFonts w:ascii="Wingdings" w:hAnsi="Wingdings"/>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8" w15:restartNumberingAfterBreak="0">
    <w:nsid w:val="23BD401A"/>
    <w:multiLevelType w:val="multilevel"/>
    <w:tmpl w:val="DB1A1674"/>
    <w:lvl w:ilvl="0">
      <w:start w:val="4"/>
      <w:numFmt w:val="chineseCounting"/>
      <w:suff w:val="nothing"/>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241272CE"/>
    <w:multiLevelType w:val="multilevel"/>
    <w:tmpl w:val="4F504454"/>
    <w:lvl w:ilvl="0">
      <w:start w:val="1"/>
      <w:numFmt w:val="taiwaneseCountingThousand"/>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26664E00"/>
    <w:multiLevelType w:val="hybridMultilevel"/>
    <w:tmpl w:val="19FC2D32"/>
    <w:lvl w:ilvl="0" w:tplc="04090011">
      <w:start w:val="1"/>
      <w:numFmt w:val="upperLetter"/>
      <w:lvlText w:val="%1."/>
      <w:lvlJc w:val="left"/>
      <w:pPr>
        <w:ind w:left="1528" w:hanging="480"/>
      </w:p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11" w15:restartNumberingAfterBreak="0">
    <w:nsid w:val="26F23FDF"/>
    <w:multiLevelType w:val="hybridMultilevel"/>
    <w:tmpl w:val="314A68FA"/>
    <w:lvl w:ilvl="0" w:tplc="4AF279F6">
      <w:start w:val="1"/>
      <w:numFmt w:val="decimal"/>
      <w:lvlText w:val="(%1)"/>
      <w:lvlJc w:val="left"/>
      <w:pPr>
        <w:ind w:left="1530" w:hanging="480"/>
      </w:pPr>
      <w:rPr>
        <w:rFonts w:hint="eastAsia"/>
      </w:rPr>
    </w:lvl>
    <w:lvl w:ilvl="1" w:tplc="04090019" w:tentative="1">
      <w:start w:val="1"/>
      <w:numFmt w:val="ideographTraditional"/>
      <w:lvlText w:val="%2、"/>
      <w:lvlJc w:val="left"/>
      <w:pPr>
        <w:ind w:left="2010" w:hanging="480"/>
      </w:pPr>
    </w:lvl>
    <w:lvl w:ilvl="2" w:tplc="0409001B" w:tentative="1">
      <w:start w:val="1"/>
      <w:numFmt w:val="lowerRoman"/>
      <w:lvlText w:val="%3."/>
      <w:lvlJc w:val="right"/>
      <w:pPr>
        <w:ind w:left="2490" w:hanging="480"/>
      </w:pPr>
    </w:lvl>
    <w:lvl w:ilvl="3" w:tplc="0409000F" w:tentative="1">
      <w:start w:val="1"/>
      <w:numFmt w:val="decimal"/>
      <w:lvlText w:val="%4."/>
      <w:lvlJc w:val="left"/>
      <w:pPr>
        <w:ind w:left="2970" w:hanging="480"/>
      </w:pPr>
    </w:lvl>
    <w:lvl w:ilvl="4" w:tplc="04090019" w:tentative="1">
      <w:start w:val="1"/>
      <w:numFmt w:val="ideographTraditional"/>
      <w:lvlText w:val="%5、"/>
      <w:lvlJc w:val="left"/>
      <w:pPr>
        <w:ind w:left="3450" w:hanging="480"/>
      </w:pPr>
    </w:lvl>
    <w:lvl w:ilvl="5" w:tplc="0409001B" w:tentative="1">
      <w:start w:val="1"/>
      <w:numFmt w:val="lowerRoman"/>
      <w:lvlText w:val="%6."/>
      <w:lvlJc w:val="right"/>
      <w:pPr>
        <w:ind w:left="3930" w:hanging="480"/>
      </w:pPr>
    </w:lvl>
    <w:lvl w:ilvl="6" w:tplc="0409000F" w:tentative="1">
      <w:start w:val="1"/>
      <w:numFmt w:val="decimal"/>
      <w:lvlText w:val="%7."/>
      <w:lvlJc w:val="left"/>
      <w:pPr>
        <w:ind w:left="4410" w:hanging="480"/>
      </w:pPr>
    </w:lvl>
    <w:lvl w:ilvl="7" w:tplc="04090019" w:tentative="1">
      <w:start w:val="1"/>
      <w:numFmt w:val="ideographTraditional"/>
      <w:lvlText w:val="%8、"/>
      <w:lvlJc w:val="left"/>
      <w:pPr>
        <w:ind w:left="4890" w:hanging="480"/>
      </w:pPr>
    </w:lvl>
    <w:lvl w:ilvl="8" w:tplc="0409001B" w:tentative="1">
      <w:start w:val="1"/>
      <w:numFmt w:val="lowerRoman"/>
      <w:lvlText w:val="%9."/>
      <w:lvlJc w:val="right"/>
      <w:pPr>
        <w:ind w:left="5370" w:hanging="480"/>
      </w:pPr>
    </w:lvl>
  </w:abstractNum>
  <w:abstractNum w:abstractNumId="12" w15:restartNumberingAfterBreak="0">
    <w:nsid w:val="278E3471"/>
    <w:multiLevelType w:val="hybridMultilevel"/>
    <w:tmpl w:val="1FE64166"/>
    <w:lvl w:ilvl="0" w:tplc="0409000F">
      <w:start w:val="1"/>
      <w:numFmt w:val="decimal"/>
      <w:lvlText w:val="%1."/>
      <w:lvlJc w:val="left"/>
      <w:pPr>
        <w:ind w:left="751" w:hanging="480"/>
      </w:pPr>
    </w:lvl>
    <w:lvl w:ilvl="1" w:tplc="04090019" w:tentative="1">
      <w:start w:val="1"/>
      <w:numFmt w:val="ideographTraditional"/>
      <w:lvlText w:val="%2、"/>
      <w:lvlJc w:val="left"/>
      <w:pPr>
        <w:ind w:left="1231" w:hanging="480"/>
      </w:pPr>
    </w:lvl>
    <w:lvl w:ilvl="2" w:tplc="0409001B" w:tentative="1">
      <w:start w:val="1"/>
      <w:numFmt w:val="lowerRoman"/>
      <w:lvlText w:val="%3."/>
      <w:lvlJc w:val="right"/>
      <w:pPr>
        <w:ind w:left="1711" w:hanging="480"/>
      </w:pPr>
    </w:lvl>
    <w:lvl w:ilvl="3" w:tplc="0409000F" w:tentative="1">
      <w:start w:val="1"/>
      <w:numFmt w:val="decimal"/>
      <w:lvlText w:val="%4."/>
      <w:lvlJc w:val="left"/>
      <w:pPr>
        <w:ind w:left="2191" w:hanging="480"/>
      </w:pPr>
    </w:lvl>
    <w:lvl w:ilvl="4" w:tplc="04090019" w:tentative="1">
      <w:start w:val="1"/>
      <w:numFmt w:val="ideographTraditional"/>
      <w:lvlText w:val="%5、"/>
      <w:lvlJc w:val="left"/>
      <w:pPr>
        <w:ind w:left="2671" w:hanging="480"/>
      </w:pPr>
    </w:lvl>
    <w:lvl w:ilvl="5" w:tplc="0409001B" w:tentative="1">
      <w:start w:val="1"/>
      <w:numFmt w:val="lowerRoman"/>
      <w:lvlText w:val="%6."/>
      <w:lvlJc w:val="right"/>
      <w:pPr>
        <w:ind w:left="3151" w:hanging="480"/>
      </w:pPr>
    </w:lvl>
    <w:lvl w:ilvl="6" w:tplc="0409000F" w:tentative="1">
      <w:start w:val="1"/>
      <w:numFmt w:val="decimal"/>
      <w:lvlText w:val="%7."/>
      <w:lvlJc w:val="left"/>
      <w:pPr>
        <w:ind w:left="3631" w:hanging="480"/>
      </w:pPr>
    </w:lvl>
    <w:lvl w:ilvl="7" w:tplc="04090019" w:tentative="1">
      <w:start w:val="1"/>
      <w:numFmt w:val="ideographTraditional"/>
      <w:lvlText w:val="%8、"/>
      <w:lvlJc w:val="left"/>
      <w:pPr>
        <w:ind w:left="4111" w:hanging="480"/>
      </w:pPr>
    </w:lvl>
    <w:lvl w:ilvl="8" w:tplc="0409001B" w:tentative="1">
      <w:start w:val="1"/>
      <w:numFmt w:val="lowerRoman"/>
      <w:lvlText w:val="%9."/>
      <w:lvlJc w:val="right"/>
      <w:pPr>
        <w:ind w:left="4591" w:hanging="480"/>
      </w:pPr>
    </w:lvl>
  </w:abstractNum>
  <w:abstractNum w:abstractNumId="13" w15:restartNumberingAfterBreak="0">
    <w:nsid w:val="297C3496"/>
    <w:multiLevelType w:val="hybridMultilevel"/>
    <w:tmpl w:val="DEBA45AE"/>
    <w:lvl w:ilvl="0" w:tplc="4AF279F6">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14" w15:restartNumberingAfterBreak="0">
    <w:nsid w:val="308D4E2D"/>
    <w:multiLevelType w:val="hybridMultilevel"/>
    <w:tmpl w:val="5EC64330"/>
    <w:lvl w:ilvl="0" w:tplc="4AF279F6">
      <w:start w:val="1"/>
      <w:numFmt w:val="decimal"/>
      <w:lvlText w:val="(%1)"/>
      <w:lvlJc w:val="left"/>
      <w:pPr>
        <w:ind w:left="1528" w:hanging="480"/>
      </w:pPr>
      <w:rPr>
        <w:rFonts w:hint="eastAsia"/>
      </w:r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15" w15:restartNumberingAfterBreak="0">
    <w:nsid w:val="31AA148E"/>
    <w:multiLevelType w:val="multilevel"/>
    <w:tmpl w:val="6A8AB6BA"/>
    <w:lvl w:ilvl="0">
      <w:start w:val="3"/>
      <w:numFmt w:val="chineseCounting"/>
      <w:suff w:val="nothing"/>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6" w15:restartNumberingAfterBreak="0">
    <w:nsid w:val="33865591"/>
    <w:multiLevelType w:val="hybridMultilevel"/>
    <w:tmpl w:val="A3DA9062"/>
    <w:lvl w:ilvl="0" w:tplc="04090011">
      <w:start w:val="1"/>
      <w:numFmt w:val="upperLetter"/>
      <w:lvlText w:val="%1."/>
      <w:lvlJc w:val="left"/>
      <w:pPr>
        <w:ind w:left="1528" w:hanging="480"/>
      </w:p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17" w15:restartNumberingAfterBreak="0">
    <w:nsid w:val="4019415F"/>
    <w:multiLevelType w:val="multilevel"/>
    <w:tmpl w:val="15FE1F6C"/>
    <w:lvl w:ilvl="0">
      <w:numFmt w:val="bullet"/>
      <w:lvlText w:val=""/>
      <w:lvlPicBulletId w:val="0"/>
      <w:lvlJc w:val="left"/>
      <w:pPr>
        <w:ind w:left="480" w:hanging="480"/>
      </w:pPr>
      <w:rPr>
        <w:rFonts w:hAnsi="Symbol" w:hint="default"/>
        <w:sz w:val="20"/>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18" w15:restartNumberingAfterBreak="0">
    <w:nsid w:val="4386286A"/>
    <w:multiLevelType w:val="hybridMultilevel"/>
    <w:tmpl w:val="41FE3502"/>
    <w:lvl w:ilvl="0" w:tplc="9B2EAE04">
      <w:start w:val="1"/>
      <w:numFmt w:val="taiwaneseCountingThousand"/>
      <w:lvlText w:val="%1、"/>
      <w:lvlJc w:val="left"/>
      <w:pPr>
        <w:ind w:left="1568" w:hanging="720"/>
      </w:pPr>
      <w:rPr>
        <w:rFonts w:ascii="標楷體" w:eastAsia="標楷體" w:hAnsi="標楷體" w:hint="default"/>
      </w:rPr>
    </w:lvl>
    <w:lvl w:ilvl="1" w:tplc="04090019" w:tentative="1">
      <w:start w:val="1"/>
      <w:numFmt w:val="ideographTraditional"/>
      <w:lvlText w:val="%2、"/>
      <w:lvlJc w:val="left"/>
      <w:pPr>
        <w:ind w:left="1808" w:hanging="480"/>
      </w:pPr>
    </w:lvl>
    <w:lvl w:ilvl="2" w:tplc="0409001B" w:tentative="1">
      <w:start w:val="1"/>
      <w:numFmt w:val="lowerRoman"/>
      <w:lvlText w:val="%3."/>
      <w:lvlJc w:val="right"/>
      <w:pPr>
        <w:ind w:left="2288" w:hanging="480"/>
      </w:pPr>
    </w:lvl>
    <w:lvl w:ilvl="3" w:tplc="0409000F" w:tentative="1">
      <w:start w:val="1"/>
      <w:numFmt w:val="decimal"/>
      <w:lvlText w:val="%4."/>
      <w:lvlJc w:val="left"/>
      <w:pPr>
        <w:ind w:left="2768" w:hanging="480"/>
      </w:pPr>
    </w:lvl>
    <w:lvl w:ilvl="4" w:tplc="04090019" w:tentative="1">
      <w:start w:val="1"/>
      <w:numFmt w:val="ideographTraditional"/>
      <w:lvlText w:val="%5、"/>
      <w:lvlJc w:val="left"/>
      <w:pPr>
        <w:ind w:left="3248" w:hanging="480"/>
      </w:pPr>
    </w:lvl>
    <w:lvl w:ilvl="5" w:tplc="0409001B" w:tentative="1">
      <w:start w:val="1"/>
      <w:numFmt w:val="lowerRoman"/>
      <w:lvlText w:val="%6."/>
      <w:lvlJc w:val="right"/>
      <w:pPr>
        <w:ind w:left="3728" w:hanging="480"/>
      </w:pPr>
    </w:lvl>
    <w:lvl w:ilvl="6" w:tplc="0409000F" w:tentative="1">
      <w:start w:val="1"/>
      <w:numFmt w:val="decimal"/>
      <w:lvlText w:val="%7."/>
      <w:lvlJc w:val="left"/>
      <w:pPr>
        <w:ind w:left="4208" w:hanging="480"/>
      </w:pPr>
    </w:lvl>
    <w:lvl w:ilvl="7" w:tplc="04090019" w:tentative="1">
      <w:start w:val="1"/>
      <w:numFmt w:val="ideographTraditional"/>
      <w:lvlText w:val="%8、"/>
      <w:lvlJc w:val="left"/>
      <w:pPr>
        <w:ind w:left="4688" w:hanging="480"/>
      </w:pPr>
    </w:lvl>
    <w:lvl w:ilvl="8" w:tplc="0409001B" w:tentative="1">
      <w:start w:val="1"/>
      <w:numFmt w:val="lowerRoman"/>
      <w:lvlText w:val="%9."/>
      <w:lvlJc w:val="right"/>
      <w:pPr>
        <w:ind w:left="5168" w:hanging="480"/>
      </w:pPr>
    </w:lvl>
  </w:abstractNum>
  <w:abstractNum w:abstractNumId="19" w15:restartNumberingAfterBreak="0">
    <w:nsid w:val="489B2222"/>
    <w:multiLevelType w:val="hybridMultilevel"/>
    <w:tmpl w:val="0D864054"/>
    <w:lvl w:ilvl="0" w:tplc="4AF279F6">
      <w:start w:val="1"/>
      <w:numFmt w:val="decimal"/>
      <w:lvlText w:val="(%1)"/>
      <w:lvlJc w:val="left"/>
      <w:pPr>
        <w:ind w:left="1528" w:hanging="480"/>
      </w:pPr>
      <w:rPr>
        <w:rFonts w:hint="eastAsia"/>
      </w:r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20" w15:restartNumberingAfterBreak="0">
    <w:nsid w:val="4AB42AA6"/>
    <w:multiLevelType w:val="multilevel"/>
    <w:tmpl w:val="B0AA10C2"/>
    <w:lvl w:ilvl="0">
      <w:start w:val="1"/>
      <w:numFmt w:val="taiwaneseCountingThousand"/>
      <w:lvlText w:val="(%1)"/>
      <w:lvlJc w:val="left"/>
      <w:pPr>
        <w:ind w:left="5583"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4CBA4D84"/>
    <w:multiLevelType w:val="hybridMultilevel"/>
    <w:tmpl w:val="0136C48E"/>
    <w:lvl w:ilvl="0" w:tplc="4AF279F6">
      <w:start w:val="1"/>
      <w:numFmt w:val="decimal"/>
      <w:lvlText w:val="(%1)"/>
      <w:lvlJc w:val="left"/>
      <w:pPr>
        <w:ind w:left="1440" w:hanging="480"/>
      </w:pPr>
      <w:rPr>
        <w:rFonts w:hint="eastAsia"/>
      </w:rPr>
    </w:lvl>
    <w:lvl w:ilvl="1" w:tplc="00F653C2">
      <w:start w:val="2"/>
      <w:numFmt w:val="taiwaneseCountingThousand"/>
      <w:lvlText w:val="（%2）"/>
      <w:lvlJc w:val="left"/>
      <w:pPr>
        <w:ind w:left="2295" w:hanging="855"/>
      </w:pPr>
      <w:rPr>
        <w:rFonts w:hint="default"/>
      </w:r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2" w15:restartNumberingAfterBreak="0">
    <w:nsid w:val="4D9065F5"/>
    <w:multiLevelType w:val="multilevel"/>
    <w:tmpl w:val="5978E614"/>
    <w:lvl w:ilvl="0">
      <w:start w:val="1"/>
      <w:numFmt w:val="taiwaneseCountingThousand"/>
      <w:lvlText w:val="(%1)"/>
      <w:lvlJc w:val="left"/>
      <w:pPr>
        <w:ind w:left="480"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3" w15:restartNumberingAfterBreak="0">
    <w:nsid w:val="4EB77DDC"/>
    <w:multiLevelType w:val="multilevel"/>
    <w:tmpl w:val="6AB89CEE"/>
    <w:lvl w:ilvl="0">
      <w:start w:val="1"/>
      <w:numFmt w:val="taiwaneseCountingThousand"/>
      <w:lvlText w:val="(%1)"/>
      <w:lvlJc w:val="left"/>
      <w:pPr>
        <w:ind w:left="480"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4" w15:restartNumberingAfterBreak="0">
    <w:nsid w:val="4FDA262A"/>
    <w:multiLevelType w:val="multilevel"/>
    <w:tmpl w:val="80AA978E"/>
    <w:lvl w:ilvl="0">
      <w:start w:val="2"/>
      <w:numFmt w:val="chineseCounting"/>
      <w:suff w:val="nothing"/>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15:restartNumberingAfterBreak="0">
    <w:nsid w:val="501D3E18"/>
    <w:multiLevelType w:val="multilevel"/>
    <w:tmpl w:val="BD7483C4"/>
    <w:lvl w:ilvl="0">
      <w:start w:val="1"/>
      <w:numFmt w:val="decimal"/>
      <w:lvlText w:val="%1."/>
      <w:lvlJc w:val="left"/>
      <w:pPr>
        <w:ind w:left="480"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6" w15:restartNumberingAfterBreak="0">
    <w:nsid w:val="56D576F4"/>
    <w:multiLevelType w:val="hybridMultilevel"/>
    <w:tmpl w:val="264C889E"/>
    <w:lvl w:ilvl="0" w:tplc="DA822E2E">
      <w:start w:val="1"/>
      <w:numFmt w:val="taiwaneseCountingThousand"/>
      <w:lvlText w:val="%1、"/>
      <w:lvlJc w:val="left"/>
      <w:pPr>
        <w:ind w:left="1713" w:hanging="720"/>
      </w:pPr>
      <w:rPr>
        <w:rFonts w:hint="default"/>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27" w15:restartNumberingAfterBreak="0">
    <w:nsid w:val="583C5032"/>
    <w:multiLevelType w:val="multilevel"/>
    <w:tmpl w:val="94C824F2"/>
    <w:lvl w:ilvl="0">
      <w:start w:val="1"/>
      <w:numFmt w:val="taiwaneseCountingThousand"/>
      <w:lvlText w:val="(%1)"/>
      <w:lvlJc w:val="left"/>
      <w:pPr>
        <w:ind w:left="480"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8" w15:restartNumberingAfterBreak="0">
    <w:nsid w:val="5DC213E7"/>
    <w:multiLevelType w:val="hybridMultilevel"/>
    <w:tmpl w:val="7FE4B8D0"/>
    <w:lvl w:ilvl="0" w:tplc="4AF279F6">
      <w:start w:val="1"/>
      <w:numFmt w:val="decimal"/>
      <w:lvlText w:val="(%1)"/>
      <w:lvlJc w:val="left"/>
      <w:pPr>
        <w:ind w:left="1811" w:hanging="480"/>
      </w:pPr>
      <w:rPr>
        <w:rFonts w:hint="eastAsia"/>
      </w:rPr>
    </w:lvl>
    <w:lvl w:ilvl="1" w:tplc="04090019" w:tentative="1">
      <w:start w:val="1"/>
      <w:numFmt w:val="ideographTraditional"/>
      <w:lvlText w:val="%2、"/>
      <w:lvlJc w:val="left"/>
      <w:pPr>
        <w:ind w:left="2291" w:hanging="480"/>
      </w:pPr>
    </w:lvl>
    <w:lvl w:ilvl="2" w:tplc="0409001B" w:tentative="1">
      <w:start w:val="1"/>
      <w:numFmt w:val="lowerRoman"/>
      <w:lvlText w:val="%3."/>
      <w:lvlJc w:val="right"/>
      <w:pPr>
        <w:ind w:left="2771" w:hanging="480"/>
      </w:pPr>
    </w:lvl>
    <w:lvl w:ilvl="3" w:tplc="0409000F" w:tentative="1">
      <w:start w:val="1"/>
      <w:numFmt w:val="decimal"/>
      <w:lvlText w:val="%4."/>
      <w:lvlJc w:val="left"/>
      <w:pPr>
        <w:ind w:left="3251" w:hanging="480"/>
      </w:pPr>
    </w:lvl>
    <w:lvl w:ilvl="4" w:tplc="04090019" w:tentative="1">
      <w:start w:val="1"/>
      <w:numFmt w:val="ideographTraditional"/>
      <w:lvlText w:val="%5、"/>
      <w:lvlJc w:val="left"/>
      <w:pPr>
        <w:ind w:left="3731" w:hanging="480"/>
      </w:pPr>
    </w:lvl>
    <w:lvl w:ilvl="5" w:tplc="0409001B" w:tentative="1">
      <w:start w:val="1"/>
      <w:numFmt w:val="lowerRoman"/>
      <w:lvlText w:val="%6."/>
      <w:lvlJc w:val="right"/>
      <w:pPr>
        <w:ind w:left="4211" w:hanging="480"/>
      </w:pPr>
    </w:lvl>
    <w:lvl w:ilvl="6" w:tplc="0409000F" w:tentative="1">
      <w:start w:val="1"/>
      <w:numFmt w:val="decimal"/>
      <w:lvlText w:val="%7."/>
      <w:lvlJc w:val="left"/>
      <w:pPr>
        <w:ind w:left="4691" w:hanging="480"/>
      </w:pPr>
    </w:lvl>
    <w:lvl w:ilvl="7" w:tplc="04090019" w:tentative="1">
      <w:start w:val="1"/>
      <w:numFmt w:val="ideographTraditional"/>
      <w:lvlText w:val="%8、"/>
      <w:lvlJc w:val="left"/>
      <w:pPr>
        <w:ind w:left="5171" w:hanging="480"/>
      </w:pPr>
    </w:lvl>
    <w:lvl w:ilvl="8" w:tplc="0409001B" w:tentative="1">
      <w:start w:val="1"/>
      <w:numFmt w:val="lowerRoman"/>
      <w:lvlText w:val="%9."/>
      <w:lvlJc w:val="right"/>
      <w:pPr>
        <w:ind w:left="5651" w:hanging="480"/>
      </w:pPr>
    </w:lvl>
  </w:abstractNum>
  <w:abstractNum w:abstractNumId="29" w15:restartNumberingAfterBreak="0">
    <w:nsid w:val="600B41FE"/>
    <w:multiLevelType w:val="multilevel"/>
    <w:tmpl w:val="CF487904"/>
    <w:lvl w:ilvl="0">
      <w:start w:val="1"/>
      <w:numFmt w:val="decimal"/>
      <w:lvlText w:val="(%1)"/>
      <w:lvlJc w:val="left"/>
      <w:pPr>
        <w:ind w:left="1494" w:hanging="360"/>
      </w:pPr>
    </w:lvl>
    <w:lvl w:ilvl="1">
      <w:start w:val="1"/>
      <w:numFmt w:val="ideographTraditional"/>
      <w:lvlText w:val="%2、"/>
      <w:lvlJc w:val="left"/>
      <w:pPr>
        <w:ind w:left="2094" w:hanging="480"/>
      </w:pPr>
    </w:lvl>
    <w:lvl w:ilvl="2">
      <w:start w:val="1"/>
      <w:numFmt w:val="lowerRoman"/>
      <w:lvlText w:val="%3."/>
      <w:lvlJc w:val="right"/>
      <w:pPr>
        <w:ind w:left="2574" w:hanging="480"/>
      </w:pPr>
    </w:lvl>
    <w:lvl w:ilvl="3">
      <w:start w:val="1"/>
      <w:numFmt w:val="decimal"/>
      <w:lvlText w:val="%4."/>
      <w:lvlJc w:val="left"/>
      <w:pPr>
        <w:ind w:left="3054" w:hanging="480"/>
      </w:pPr>
    </w:lvl>
    <w:lvl w:ilvl="4">
      <w:start w:val="1"/>
      <w:numFmt w:val="ideographTraditional"/>
      <w:lvlText w:val="%5、"/>
      <w:lvlJc w:val="left"/>
      <w:pPr>
        <w:ind w:left="3534" w:hanging="480"/>
      </w:pPr>
    </w:lvl>
    <w:lvl w:ilvl="5">
      <w:start w:val="1"/>
      <w:numFmt w:val="lowerRoman"/>
      <w:lvlText w:val="%6."/>
      <w:lvlJc w:val="right"/>
      <w:pPr>
        <w:ind w:left="4014" w:hanging="480"/>
      </w:pPr>
    </w:lvl>
    <w:lvl w:ilvl="6">
      <w:start w:val="1"/>
      <w:numFmt w:val="decimal"/>
      <w:lvlText w:val="%7."/>
      <w:lvlJc w:val="left"/>
      <w:pPr>
        <w:ind w:left="4494" w:hanging="480"/>
      </w:pPr>
    </w:lvl>
    <w:lvl w:ilvl="7">
      <w:start w:val="1"/>
      <w:numFmt w:val="ideographTraditional"/>
      <w:lvlText w:val="%8、"/>
      <w:lvlJc w:val="left"/>
      <w:pPr>
        <w:ind w:left="4974" w:hanging="480"/>
      </w:pPr>
    </w:lvl>
    <w:lvl w:ilvl="8">
      <w:start w:val="1"/>
      <w:numFmt w:val="lowerRoman"/>
      <w:lvlText w:val="%9."/>
      <w:lvlJc w:val="right"/>
      <w:pPr>
        <w:ind w:left="5454" w:hanging="480"/>
      </w:pPr>
    </w:lvl>
  </w:abstractNum>
  <w:abstractNum w:abstractNumId="30" w15:restartNumberingAfterBreak="0">
    <w:nsid w:val="646E1867"/>
    <w:multiLevelType w:val="hybridMultilevel"/>
    <w:tmpl w:val="DEBA45AE"/>
    <w:lvl w:ilvl="0" w:tplc="4AF279F6">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31" w15:restartNumberingAfterBreak="0">
    <w:nsid w:val="64D229AF"/>
    <w:multiLevelType w:val="hybridMultilevel"/>
    <w:tmpl w:val="C7E402E2"/>
    <w:lvl w:ilvl="0" w:tplc="FFFFFFFF">
      <w:start w:val="1"/>
      <w:numFmt w:val="decimal"/>
      <w:lvlText w:val="%1."/>
      <w:lvlJc w:val="left"/>
      <w:pPr>
        <w:ind w:left="1048" w:hanging="480"/>
      </w:pPr>
    </w:lvl>
    <w:lvl w:ilvl="1" w:tplc="FFFFFFFF" w:tentative="1">
      <w:start w:val="1"/>
      <w:numFmt w:val="ideographTraditional"/>
      <w:lvlText w:val="%2、"/>
      <w:lvlJc w:val="left"/>
      <w:pPr>
        <w:ind w:left="2010" w:hanging="480"/>
      </w:pPr>
    </w:lvl>
    <w:lvl w:ilvl="2" w:tplc="FFFFFFFF" w:tentative="1">
      <w:start w:val="1"/>
      <w:numFmt w:val="lowerRoman"/>
      <w:lvlText w:val="%3."/>
      <w:lvlJc w:val="right"/>
      <w:pPr>
        <w:ind w:left="2490" w:hanging="480"/>
      </w:pPr>
    </w:lvl>
    <w:lvl w:ilvl="3" w:tplc="FFFFFFFF" w:tentative="1">
      <w:start w:val="1"/>
      <w:numFmt w:val="decimal"/>
      <w:lvlText w:val="%4."/>
      <w:lvlJc w:val="left"/>
      <w:pPr>
        <w:ind w:left="2970" w:hanging="480"/>
      </w:pPr>
    </w:lvl>
    <w:lvl w:ilvl="4" w:tplc="FFFFFFFF" w:tentative="1">
      <w:start w:val="1"/>
      <w:numFmt w:val="ideographTraditional"/>
      <w:lvlText w:val="%5、"/>
      <w:lvlJc w:val="left"/>
      <w:pPr>
        <w:ind w:left="3450" w:hanging="480"/>
      </w:pPr>
    </w:lvl>
    <w:lvl w:ilvl="5" w:tplc="FFFFFFFF" w:tentative="1">
      <w:start w:val="1"/>
      <w:numFmt w:val="lowerRoman"/>
      <w:lvlText w:val="%6."/>
      <w:lvlJc w:val="right"/>
      <w:pPr>
        <w:ind w:left="3930" w:hanging="480"/>
      </w:pPr>
    </w:lvl>
    <w:lvl w:ilvl="6" w:tplc="FFFFFFFF" w:tentative="1">
      <w:start w:val="1"/>
      <w:numFmt w:val="decimal"/>
      <w:lvlText w:val="%7."/>
      <w:lvlJc w:val="left"/>
      <w:pPr>
        <w:ind w:left="4410" w:hanging="480"/>
      </w:pPr>
    </w:lvl>
    <w:lvl w:ilvl="7" w:tplc="FFFFFFFF" w:tentative="1">
      <w:start w:val="1"/>
      <w:numFmt w:val="ideographTraditional"/>
      <w:lvlText w:val="%8、"/>
      <w:lvlJc w:val="left"/>
      <w:pPr>
        <w:ind w:left="4890" w:hanging="480"/>
      </w:pPr>
    </w:lvl>
    <w:lvl w:ilvl="8" w:tplc="FFFFFFFF" w:tentative="1">
      <w:start w:val="1"/>
      <w:numFmt w:val="lowerRoman"/>
      <w:lvlText w:val="%9."/>
      <w:lvlJc w:val="right"/>
      <w:pPr>
        <w:ind w:left="5370" w:hanging="480"/>
      </w:pPr>
    </w:lvl>
  </w:abstractNum>
  <w:abstractNum w:abstractNumId="32" w15:restartNumberingAfterBreak="0">
    <w:nsid w:val="65386005"/>
    <w:multiLevelType w:val="multilevel"/>
    <w:tmpl w:val="B6962A32"/>
    <w:lvl w:ilvl="0">
      <w:start w:val="1"/>
      <w:numFmt w:val="taiwaneseCountingThousand"/>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rPr>
        <w:rFonts w:ascii="Times New Roman" w:hAnsi="Times New Roman" w:cs="Times New Roman"/>
      </w:r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81652FC"/>
    <w:multiLevelType w:val="hybridMultilevel"/>
    <w:tmpl w:val="38B84D4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6FBAA444">
      <w:start w:val="3"/>
      <w:numFmt w:val="taiwaneseCountingThousand"/>
      <w:suff w:val="nothing"/>
      <w:lvlText w:val="（%5）"/>
      <w:lvlJc w:val="left"/>
      <w:pPr>
        <w:ind w:left="3255" w:hanging="855"/>
      </w:pPr>
      <w:rPr>
        <w:rFonts w:ascii="Times New Roman" w:eastAsia="標楷體" w:hAnsi="Times New Roman" w:cs="Times New Roman" w:hint="default"/>
      </w:r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6AF8698C"/>
    <w:multiLevelType w:val="hybridMultilevel"/>
    <w:tmpl w:val="F3161BEE"/>
    <w:lvl w:ilvl="0" w:tplc="4AF279F6">
      <w:start w:val="1"/>
      <w:numFmt w:val="decimal"/>
      <w:lvlText w:val="(%1)"/>
      <w:lvlJc w:val="left"/>
      <w:pPr>
        <w:ind w:left="1528" w:hanging="480"/>
      </w:pPr>
      <w:rPr>
        <w:rFonts w:hint="eastAsia"/>
      </w:r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35" w15:restartNumberingAfterBreak="0">
    <w:nsid w:val="6DB20869"/>
    <w:multiLevelType w:val="hybridMultilevel"/>
    <w:tmpl w:val="94364FB0"/>
    <w:lvl w:ilvl="0" w:tplc="D6562D6A">
      <w:start w:val="1"/>
      <w:numFmt w:val="taiwaneseCountingThousand"/>
      <w:lvlText w:val="(%1)"/>
      <w:lvlJc w:val="left"/>
      <w:pPr>
        <w:ind w:left="480" w:hanging="480"/>
      </w:pPr>
      <w:rPr>
        <w:rFonts w:hint="eastAsia"/>
        <w:caps w:val="0"/>
        <w:strike w:val="0"/>
        <w:dstrike w:val="0"/>
        <w:vanish w:val="0"/>
        <w:color w:val="000000" w:themeColor="text1"/>
        <w:u w:val="none"/>
        <w:vertAlign w:val="baseline"/>
        <w:em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6184373"/>
    <w:multiLevelType w:val="hybridMultilevel"/>
    <w:tmpl w:val="C8A8834E"/>
    <w:lvl w:ilvl="0" w:tplc="04090011">
      <w:start w:val="1"/>
      <w:numFmt w:val="upperLetter"/>
      <w:lvlText w:val="%1."/>
      <w:lvlJc w:val="left"/>
      <w:pPr>
        <w:ind w:left="1528" w:hanging="480"/>
      </w:p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37" w15:restartNumberingAfterBreak="0">
    <w:nsid w:val="7B3D2700"/>
    <w:multiLevelType w:val="hybridMultilevel"/>
    <w:tmpl w:val="7ABE64B6"/>
    <w:lvl w:ilvl="0" w:tplc="23BC3400">
      <w:start w:val="1"/>
      <w:numFmt w:val="taiwaneseCountingThousand"/>
      <w:lvlText w:val="(%1)"/>
      <w:lvlJc w:val="left"/>
      <w:pPr>
        <w:ind w:left="900" w:hanging="480"/>
      </w:pPr>
      <w:rPr>
        <w:rFonts w:hint="eastAsia"/>
        <w:caps w:val="0"/>
        <w:strike w:val="0"/>
        <w:dstrike w:val="0"/>
        <w:vanish w:val="0"/>
        <w:color w:val="auto"/>
        <w:u w:val="none"/>
        <w:vertAlign w:val="baseline"/>
        <w:em w:val="none"/>
      </w:rPr>
    </w:lvl>
    <w:lvl w:ilvl="1" w:tplc="FFFFFFFF" w:tentative="1">
      <w:start w:val="1"/>
      <w:numFmt w:val="ideographTraditional"/>
      <w:lvlText w:val="%2、"/>
      <w:lvlJc w:val="left"/>
      <w:pPr>
        <w:ind w:left="1380" w:hanging="480"/>
      </w:pPr>
    </w:lvl>
    <w:lvl w:ilvl="2" w:tplc="FFFFFFFF" w:tentative="1">
      <w:start w:val="1"/>
      <w:numFmt w:val="lowerRoman"/>
      <w:lvlText w:val="%3."/>
      <w:lvlJc w:val="right"/>
      <w:pPr>
        <w:ind w:left="1860" w:hanging="480"/>
      </w:pPr>
    </w:lvl>
    <w:lvl w:ilvl="3" w:tplc="FFFFFFFF" w:tentative="1">
      <w:start w:val="1"/>
      <w:numFmt w:val="decimal"/>
      <w:lvlText w:val="%4."/>
      <w:lvlJc w:val="left"/>
      <w:pPr>
        <w:ind w:left="2340" w:hanging="480"/>
      </w:pPr>
    </w:lvl>
    <w:lvl w:ilvl="4" w:tplc="FFFFFFFF" w:tentative="1">
      <w:start w:val="1"/>
      <w:numFmt w:val="ideographTraditional"/>
      <w:lvlText w:val="%5、"/>
      <w:lvlJc w:val="left"/>
      <w:pPr>
        <w:ind w:left="2820" w:hanging="480"/>
      </w:pPr>
    </w:lvl>
    <w:lvl w:ilvl="5" w:tplc="FFFFFFFF" w:tentative="1">
      <w:start w:val="1"/>
      <w:numFmt w:val="lowerRoman"/>
      <w:lvlText w:val="%6."/>
      <w:lvlJc w:val="right"/>
      <w:pPr>
        <w:ind w:left="3300" w:hanging="480"/>
      </w:pPr>
    </w:lvl>
    <w:lvl w:ilvl="6" w:tplc="FFFFFFFF" w:tentative="1">
      <w:start w:val="1"/>
      <w:numFmt w:val="decimal"/>
      <w:lvlText w:val="%7."/>
      <w:lvlJc w:val="left"/>
      <w:pPr>
        <w:ind w:left="3780" w:hanging="480"/>
      </w:pPr>
    </w:lvl>
    <w:lvl w:ilvl="7" w:tplc="FFFFFFFF" w:tentative="1">
      <w:start w:val="1"/>
      <w:numFmt w:val="ideographTraditional"/>
      <w:lvlText w:val="%8、"/>
      <w:lvlJc w:val="left"/>
      <w:pPr>
        <w:ind w:left="4260" w:hanging="480"/>
      </w:pPr>
    </w:lvl>
    <w:lvl w:ilvl="8" w:tplc="FFFFFFFF" w:tentative="1">
      <w:start w:val="1"/>
      <w:numFmt w:val="lowerRoman"/>
      <w:lvlText w:val="%9."/>
      <w:lvlJc w:val="right"/>
      <w:pPr>
        <w:ind w:left="4740" w:hanging="480"/>
      </w:pPr>
    </w:lvl>
  </w:abstractNum>
  <w:num w:numId="1">
    <w:abstractNumId w:val="7"/>
  </w:num>
  <w:num w:numId="2">
    <w:abstractNumId w:val="17"/>
  </w:num>
  <w:num w:numId="3">
    <w:abstractNumId w:val="3"/>
  </w:num>
  <w:num w:numId="4">
    <w:abstractNumId w:val="27"/>
  </w:num>
  <w:num w:numId="5">
    <w:abstractNumId w:val="24"/>
  </w:num>
  <w:num w:numId="6">
    <w:abstractNumId w:val="20"/>
  </w:num>
  <w:num w:numId="7">
    <w:abstractNumId w:val="15"/>
  </w:num>
  <w:num w:numId="8">
    <w:abstractNumId w:val="22"/>
  </w:num>
  <w:num w:numId="9">
    <w:abstractNumId w:val="8"/>
  </w:num>
  <w:num w:numId="10">
    <w:abstractNumId w:val="32"/>
  </w:num>
  <w:num w:numId="11">
    <w:abstractNumId w:val="4"/>
  </w:num>
  <w:num w:numId="12">
    <w:abstractNumId w:val="25"/>
  </w:num>
  <w:num w:numId="13">
    <w:abstractNumId w:val="23"/>
  </w:num>
  <w:num w:numId="14">
    <w:abstractNumId w:val="29"/>
  </w:num>
  <w:num w:numId="15">
    <w:abstractNumId w:val="2"/>
  </w:num>
  <w:num w:numId="16">
    <w:abstractNumId w:val="35"/>
  </w:num>
  <w:num w:numId="17">
    <w:abstractNumId w:val="0"/>
  </w:num>
  <w:num w:numId="18">
    <w:abstractNumId w:val="6"/>
  </w:num>
  <w:num w:numId="19">
    <w:abstractNumId w:val="33"/>
  </w:num>
  <w:num w:numId="20">
    <w:abstractNumId w:val="37"/>
  </w:num>
  <w:num w:numId="21">
    <w:abstractNumId w:val="11"/>
  </w:num>
  <w:num w:numId="22">
    <w:abstractNumId w:val="31"/>
  </w:num>
  <w:num w:numId="23">
    <w:abstractNumId w:val="9"/>
  </w:num>
  <w:num w:numId="24">
    <w:abstractNumId w:val="5"/>
  </w:num>
  <w:num w:numId="25">
    <w:abstractNumId w:val="21"/>
  </w:num>
  <w:num w:numId="26">
    <w:abstractNumId w:val="12"/>
  </w:num>
  <w:num w:numId="27">
    <w:abstractNumId w:val="26"/>
  </w:num>
  <w:num w:numId="28">
    <w:abstractNumId w:val="30"/>
  </w:num>
  <w:num w:numId="29">
    <w:abstractNumId w:val="18"/>
  </w:num>
  <w:num w:numId="30">
    <w:abstractNumId w:val="34"/>
  </w:num>
  <w:num w:numId="31">
    <w:abstractNumId w:val="28"/>
  </w:num>
  <w:num w:numId="32">
    <w:abstractNumId w:val="13"/>
  </w:num>
  <w:num w:numId="33">
    <w:abstractNumId w:val="1"/>
  </w:num>
  <w:num w:numId="34">
    <w:abstractNumId w:val="19"/>
  </w:num>
  <w:num w:numId="35">
    <w:abstractNumId w:val="10"/>
  </w:num>
  <w:num w:numId="36">
    <w:abstractNumId w:val="16"/>
  </w:num>
  <w:num w:numId="37">
    <w:abstractNumId w:val="36"/>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16D"/>
    <w:rsid w:val="0015590C"/>
    <w:rsid w:val="00291A15"/>
    <w:rsid w:val="00336552"/>
    <w:rsid w:val="0042416D"/>
    <w:rsid w:val="0043679D"/>
    <w:rsid w:val="00596B29"/>
    <w:rsid w:val="008E167D"/>
    <w:rsid w:val="008E3C3D"/>
    <w:rsid w:val="009E0BFA"/>
    <w:rsid w:val="00A119E0"/>
    <w:rsid w:val="00A531E2"/>
    <w:rsid w:val="00A824A2"/>
    <w:rsid w:val="00AA5642"/>
    <w:rsid w:val="00B66236"/>
    <w:rsid w:val="00BA686E"/>
    <w:rsid w:val="00C10786"/>
    <w:rsid w:val="00C81B60"/>
    <w:rsid w:val="00CD6250"/>
    <w:rsid w:val="00D25989"/>
    <w:rsid w:val="00DB20D1"/>
    <w:rsid w:val="00E3610D"/>
    <w:rsid w:val="00E46FB6"/>
    <w:rsid w:val="00EA037B"/>
    <w:rsid w:val="00F15B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FF85D"/>
  <w15:docId w15:val="{62E18B58-6C72-47C3-B4E9-9845FD882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新細明體" w:hAnsi="Calibri" w:cs="Times New Roman"/>
        <w:lang w:val="en-US" w:eastAsia="zh-TW" w:bidi="ar-SA"/>
      </w:rPr>
    </w:rPrDefault>
    <w:pPrDefault>
      <w:pPr>
        <w:autoSpaceDN w:val="0"/>
        <w:spacing w:after="160" w:line="276"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uppressAutoHyphens/>
      <w:jc w:val="both"/>
    </w:pPr>
    <w:rPr>
      <w:kern w:val="3"/>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pPr>
      <w:ind w:left="720"/>
      <w:jc w:val="left"/>
    </w:pPr>
    <w:rPr>
      <w:sz w:val="24"/>
      <w:lang w:eastAsia="zh-TW"/>
    </w:rPr>
  </w:style>
  <w:style w:type="character" w:customStyle="1" w:styleId="a4">
    <w:name w:val="清單段落 字元"/>
    <w:basedOn w:val="a0"/>
    <w:rPr>
      <w:kern w:val="3"/>
      <w:sz w:val="24"/>
      <w:szCs w:val="24"/>
    </w:rPr>
  </w:style>
  <w:style w:type="paragraph" w:customStyle="1" w:styleId="Default">
    <w:name w:val="Default"/>
    <w:pPr>
      <w:widowControl w:val="0"/>
      <w:suppressAutoHyphens/>
      <w:autoSpaceDE w:val="0"/>
      <w:spacing w:after="0" w:line="240" w:lineRule="auto"/>
    </w:pPr>
    <w:rPr>
      <w:rFonts w:ascii="MS PGothic" w:eastAsia="MS PGothic" w:hAnsi="MS PGothic" w:cs="MS PGothic"/>
      <w:color w:val="000000"/>
      <w:sz w:val="24"/>
      <w:szCs w:val="24"/>
    </w:rPr>
  </w:style>
  <w:style w:type="character" w:customStyle="1" w:styleId="ng-star-inserted">
    <w:name w:val="ng-star-inserted"/>
    <w:basedOn w:val="a0"/>
  </w:style>
  <w:style w:type="paragraph" w:styleId="a5">
    <w:name w:val="Balloon Text"/>
    <w:basedOn w:val="a"/>
    <w:pPr>
      <w:spacing w:after="0" w:line="240" w:lineRule="auto"/>
    </w:pPr>
    <w:rPr>
      <w:rFonts w:ascii="Calibri Light" w:hAnsi="Calibri Light"/>
      <w:sz w:val="18"/>
      <w:szCs w:val="18"/>
    </w:rPr>
  </w:style>
  <w:style w:type="character" w:customStyle="1" w:styleId="a6">
    <w:name w:val="註解方塊文字 字元"/>
    <w:basedOn w:val="a0"/>
    <w:rPr>
      <w:rFonts w:ascii="Calibri Light" w:eastAsia="新細明體" w:hAnsi="Calibri Light" w:cs="Times New Roman"/>
      <w:kern w:val="3"/>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6387998">
      <w:bodyDiv w:val="1"/>
      <w:marLeft w:val="0"/>
      <w:marRight w:val="0"/>
      <w:marTop w:val="0"/>
      <w:marBottom w:val="0"/>
      <w:divBdr>
        <w:top w:val="none" w:sz="0" w:space="0" w:color="auto"/>
        <w:left w:val="none" w:sz="0" w:space="0" w:color="auto"/>
        <w:bottom w:val="none" w:sz="0" w:space="0" w:color="auto"/>
        <w:right w:val="none" w:sz="0" w:space="0" w:color="auto"/>
      </w:divBdr>
    </w:div>
    <w:div w:id="2082411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范秀郁</dc:creator>
  <cp:lastModifiedBy>陳宛均</cp:lastModifiedBy>
  <cp:revision>2</cp:revision>
  <cp:lastPrinted>2026-05-20T07:34:00Z</cp:lastPrinted>
  <dcterms:created xsi:type="dcterms:W3CDTF">2026-05-22T03:45:00Z</dcterms:created>
  <dcterms:modified xsi:type="dcterms:W3CDTF">2026-05-22T03:45:00Z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