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1F27E7" w14:textId="7725F1D7" w:rsidR="00FE105C" w:rsidRDefault="00D65CCD" w:rsidP="00D65CCD">
      <w:pPr>
        <w:pStyle w:val="a3"/>
        <w:spacing w:line="440" w:lineRule="exact"/>
        <w:ind w:leftChars="0" w:left="360"/>
        <w:jc w:val="center"/>
        <w:rPr>
          <w:rFonts w:ascii="Times New Roman" w:eastAsia="標楷體" w:hAnsi="Times New Roman" w:cs="Times New Roman"/>
          <w:b/>
          <w:bCs/>
          <w:sz w:val="32"/>
          <w:szCs w:val="32"/>
        </w:rPr>
      </w:pPr>
      <w:r w:rsidRPr="00D65CCD">
        <w:rPr>
          <w:rFonts w:ascii="Times New Roman" w:eastAsia="標楷體" w:hAnsi="Times New Roman" w:cs="Times New Roman" w:hint="eastAsia"/>
          <w:b/>
          <w:bCs/>
          <w:sz w:val="32"/>
          <w:szCs w:val="32"/>
        </w:rPr>
        <w:t>115.4.</w:t>
      </w:r>
      <w:r w:rsidR="000D51B9">
        <w:rPr>
          <w:rFonts w:ascii="Times New Roman" w:eastAsia="標楷體" w:hAnsi="Times New Roman" w:cs="Times New Roman" w:hint="eastAsia"/>
          <w:b/>
          <w:bCs/>
          <w:sz w:val="32"/>
          <w:szCs w:val="32"/>
        </w:rPr>
        <w:t>24</w:t>
      </w:r>
      <w:r w:rsidR="006F7A52">
        <w:rPr>
          <w:rFonts w:ascii="Times New Roman" w:eastAsia="標楷體" w:hAnsi="Times New Roman" w:cs="Times New Roman" w:hint="eastAsia"/>
          <w:b/>
          <w:bCs/>
          <w:sz w:val="32"/>
          <w:szCs w:val="32"/>
        </w:rPr>
        <w:t>醫藥品法規學會</w:t>
      </w:r>
      <w:r w:rsidR="006F7A52">
        <w:rPr>
          <w:rFonts w:ascii="Times New Roman" w:eastAsia="標楷體" w:hAnsi="Times New Roman" w:cs="Times New Roman" w:hint="eastAsia"/>
          <w:b/>
          <w:bCs/>
          <w:sz w:val="32"/>
          <w:szCs w:val="32"/>
        </w:rPr>
        <w:t xml:space="preserve"> </w:t>
      </w:r>
      <w:r w:rsidR="00E65503">
        <w:rPr>
          <w:rFonts w:ascii="Times New Roman" w:eastAsia="標楷體" w:hAnsi="Times New Roman" w:cs="Times New Roman" w:hint="eastAsia"/>
          <w:b/>
          <w:bCs/>
          <w:sz w:val="32"/>
          <w:szCs w:val="32"/>
        </w:rPr>
        <w:t>健保政策學苑</w:t>
      </w:r>
    </w:p>
    <w:p w14:paraId="2B7FA51F" w14:textId="6A183AA8" w:rsidR="000D51B9" w:rsidRDefault="00D65CCD" w:rsidP="00D65CCD">
      <w:pPr>
        <w:pStyle w:val="a3"/>
        <w:spacing w:line="440" w:lineRule="exact"/>
        <w:ind w:leftChars="0" w:left="360"/>
        <w:jc w:val="center"/>
        <w:rPr>
          <w:rFonts w:ascii="Times New Roman" w:eastAsia="標楷體" w:hAnsi="Times New Roman" w:cs="Times New Roman"/>
          <w:b/>
          <w:bCs/>
          <w:sz w:val="32"/>
          <w:szCs w:val="32"/>
        </w:rPr>
      </w:pPr>
      <w:r w:rsidRPr="00D65CCD">
        <w:rPr>
          <w:rFonts w:ascii="Times New Roman" w:eastAsia="標楷體" w:hAnsi="Times New Roman" w:cs="Times New Roman" w:hint="eastAsia"/>
          <w:b/>
          <w:bCs/>
          <w:sz w:val="32"/>
          <w:szCs w:val="32"/>
        </w:rPr>
        <w:t>「</w:t>
      </w:r>
      <w:r w:rsidR="000D51B9">
        <w:rPr>
          <w:rFonts w:ascii="Times New Roman" w:eastAsia="標楷體" w:hAnsi="Times New Roman" w:cs="Times New Roman" w:hint="eastAsia"/>
          <w:b/>
          <w:bCs/>
          <w:sz w:val="32"/>
          <w:szCs w:val="32"/>
        </w:rPr>
        <w:t>台灣新藥引進新紀元：准入治理革新與</w:t>
      </w:r>
      <w:r w:rsidR="000D51B9">
        <w:rPr>
          <w:rFonts w:ascii="Times New Roman" w:eastAsia="標楷體" w:hAnsi="Times New Roman" w:cs="Times New Roman" w:hint="eastAsia"/>
          <w:b/>
          <w:bCs/>
          <w:sz w:val="32"/>
          <w:szCs w:val="32"/>
        </w:rPr>
        <w:t>CHPTA</w:t>
      </w:r>
      <w:r w:rsidR="001A6E27">
        <w:rPr>
          <w:rFonts w:ascii="Times New Roman" w:eastAsia="標楷體" w:hAnsi="Times New Roman" w:cs="Times New Roman" w:hint="eastAsia"/>
          <w:b/>
          <w:bCs/>
          <w:sz w:val="32"/>
          <w:szCs w:val="32"/>
        </w:rPr>
        <w:t>定位</w:t>
      </w:r>
      <w:r w:rsidRPr="00D65CCD">
        <w:rPr>
          <w:rFonts w:ascii="Times New Roman" w:eastAsia="標楷體" w:hAnsi="Times New Roman" w:cs="Times New Roman" w:hint="eastAsia"/>
          <w:b/>
          <w:bCs/>
          <w:sz w:val="32"/>
          <w:szCs w:val="32"/>
        </w:rPr>
        <w:t>」</w:t>
      </w:r>
    </w:p>
    <w:p w14:paraId="0E80C01A" w14:textId="2AED76C5" w:rsidR="00180B50" w:rsidRPr="000D51B9" w:rsidRDefault="000D51B9" w:rsidP="000D51B9">
      <w:pPr>
        <w:pStyle w:val="a3"/>
        <w:spacing w:line="440" w:lineRule="exact"/>
        <w:ind w:leftChars="0" w:left="360"/>
        <w:jc w:val="center"/>
        <w:rPr>
          <w:rFonts w:ascii="Times New Roman" w:eastAsia="標楷體" w:hAnsi="Times New Roman" w:cs="Times New Roman"/>
          <w:b/>
          <w:bCs/>
          <w:sz w:val="32"/>
          <w:szCs w:val="32"/>
        </w:rPr>
      </w:pPr>
      <w:r>
        <w:rPr>
          <w:rFonts w:ascii="Times New Roman" w:eastAsia="標楷體" w:hAnsi="Times New Roman" w:cs="Times New Roman" w:hint="eastAsia"/>
          <w:b/>
          <w:bCs/>
          <w:sz w:val="32"/>
          <w:szCs w:val="32"/>
        </w:rPr>
        <w:t>專題研討會</w:t>
      </w:r>
      <w:r>
        <w:rPr>
          <w:rFonts w:ascii="Times New Roman" w:eastAsia="標楷體" w:hAnsi="Times New Roman" w:cs="Times New Roman" w:hint="eastAsia"/>
          <w:b/>
          <w:bCs/>
          <w:sz w:val="32"/>
          <w:szCs w:val="32"/>
        </w:rPr>
        <w:t xml:space="preserve"> </w:t>
      </w:r>
      <w:proofErr w:type="gramStart"/>
      <w:r w:rsidR="00D65CCD" w:rsidRPr="000D51B9">
        <w:rPr>
          <w:rFonts w:ascii="Times New Roman" w:eastAsia="標楷體" w:hAnsi="Times New Roman" w:cs="Times New Roman" w:hint="eastAsia"/>
          <w:b/>
          <w:bCs/>
          <w:sz w:val="32"/>
          <w:szCs w:val="32"/>
        </w:rPr>
        <w:t>備參資料</w:t>
      </w:r>
      <w:proofErr w:type="gramEnd"/>
    </w:p>
    <w:p w14:paraId="365B9D1B" w14:textId="77777777" w:rsidR="00AE08FE" w:rsidRDefault="00AE08FE" w:rsidP="00AE08FE">
      <w:pPr>
        <w:pStyle w:val="a3"/>
        <w:numPr>
          <w:ilvl w:val="0"/>
          <w:numId w:val="11"/>
        </w:numPr>
        <w:spacing w:line="480" w:lineRule="exact"/>
        <w:ind w:leftChars="0"/>
        <w:contextualSpacing/>
        <w:rPr>
          <w:rFonts w:ascii="Times New Roman" w:eastAsia="標楷體" w:hAnsi="Times New Roman" w:cs="Times New Roman"/>
          <w:b/>
          <w:bCs/>
          <w:sz w:val="32"/>
          <w:szCs w:val="32"/>
        </w:rPr>
      </w:pPr>
      <w:r w:rsidRPr="009B4330">
        <w:rPr>
          <w:rFonts w:ascii="Times New Roman" w:eastAsia="標楷體" w:hAnsi="Times New Roman" w:cs="Times New Roman" w:hint="eastAsia"/>
          <w:b/>
          <w:bCs/>
          <w:sz w:val="32"/>
          <w:szCs w:val="32"/>
        </w:rPr>
        <w:t>會議資訊</w:t>
      </w:r>
    </w:p>
    <w:p w14:paraId="73A6ED39" w14:textId="46162280" w:rsidR="00AE08FE" w:rsidRPr="009B4330" w:rsidRDefault="00AE08FE" w:rsidP="00AE08FE">
      <w:pPr>
        <w:pStyle w:val="a3"/>
        <w:numPr>
          <w:ilvl w:val="1"/>
          <w:numId w:val="11"/>
        </w:numPr>
        <w:spacing w:line="480" w:lineRule="exact"/>
        <w:ind w:leftChars="0" w:left="227" w:firstLine="0"/>
        <w:contextualSpacing/>
        <w:rPr>
          <w:rFonts w:ascii="Times New Roman" w:eastAsia="標楷體" w:hAnsi="Times New Roman" w:cs="Times New Roman"/>
          <w:b/>
          <w:bCs/>
          <w:sz w:val="28"/>
          <w:szCs w:val="28"/>
        </w:rPr>
      </w:pPr>
      <w:r w:rsidRPr="009B4330">
        <w:rPr>
          <w:rFonts w:ascii="Times New Roman" w:eastAsia="標楷體" w:hAnsi="Times New Roman" w:cs="Times New Roman" w:hint="eastAsia"/>
          <w:b/>
          <w:bCs/>
          <w:sz w:val="28"/>
          <w:szCs w:val="28"/>
        </w:rPr>
        <w:t>日期：</w:t>
      </w:r>
      <w:r w:rsidRPr="0089230D">
        <w:rPr>
          <w:rFonts w:ascii="Times New Roman" w:eastAsia="標楷體" w:hAnsi="Times New Roman" w:cs="Times New Roman" w:hint="eastAsia"/>
          <w:sz w:val="28"/>
          <w:szCs w:val="28"/>
        </w:rPr>
        <w:t>115</w:t>
      </w:r>
      <w:r w:rsidRPr="0089230D">
        <w:rPr>
          <w:rFonts w:ascii="Times New Roman" w:eastAsia="標楷體" w:hAnsi="Times New Roman" w:cs="Times New Roman" w:hint="eastAsia"/>
          <w:sz w:val="28"/>
          <w:szCs w:val="28"/>
        </w:rPr>
        <w:t>年</w:t>
      </w:r>
      <w:r w:rsidRPr="0089230D">
        <w:rPr>
          <w:rFonts w:ascii="Times New Roman" w:eastAsia="標楷體" w:hAnsi="Times New Roman" w:cs="Times New Roman" w:hint="eastAsia"/>
          <w:sz w:val="28"/>
          <w:szCs w:val="28"/>
        </w:rPr>
        <w:t>4</w:t>
      </w:r>
      <w:r w:rsidRPr="0089230D">
        <w:rPr>
          <w:rFonts w:ascii="Times New Roman" w:eastAsia="標楷體" w:hAnsi="Times New Roman" w:cs="Times New Roman" w:hint="eastAsia"/>
          <w:sz w:val="28"/>
          <w:szCs w:val="28"/>
        </w:rPr>
        <w:t>月</w:t>
      </w:r>
      <w:r w:rsidR="000D51B9">
        <w:rPr>
          <w:rFonts w:ascii="Times New Roman" w:eastAsia="標楷體" w:hAnsi="Times New Roman" w:cs="Times New Roman" w:hint="eastAsia"/>
          <w:sz w:val="28"/>
          <w:szCs w:val="28"/>
        </w:rPr>
        <w:t>24</w:t>
      </w:r>
      <w:r w:rsidRPr="0089230D">
        <w:rPr>
          <w:rFonts w:ascii="Times New Roman" w:eastAsia="標楷體" w:hAnsi="Times New Roman" w:cs="Times New Roman" w:hint="eastAsia"/>
          <w:sz w:val="28"/>
          <w:szCs w:val="28"/>
        </w:rPr>
        <w:t>日</w:t>
      </w:r>
      <w:r w:rsidRPr="0089230D">
        <w:rPr>
          <w:rFonts w:ascii="Times New Roman" w:eastAsia="標楷體" w:hAnsi="Times New Roman" w:cs="Times New Roman" w:hint="eastAsia"/>
          <w:sz w:val="28"/>
          <w:szCs w:val="28"/>
        </w:rPr>
        <w:t>1</w:t>
      </w:r>
      <w:r w:rsidR="000D51B9">
        <w:rPr>
          <w:rFonts w:ascii="Times New Roman" w:eastAsia="標楷體" w:hAnsi="Times New Roman" w:cs="Times New Roman" w:hint="eastAsia"/>
          <w:sz w:val="28"/>
          <w:szCs w:val="28"/>
        </w:rPr>
        <w:t>4</w:t>
      </w:r>
      <w:r w:rsidRPr="0089230D">
        <w:rPr>
          <w:rFonts w:ascii="Times New Roman" w:eastAsia="標楷體" w:hAnsi="Times New Roman" w:cs="Times New Roman" w:hint="eastAsia"/>
          <w:sz w:val="28"/>
          <w:szCs w:val="28"/>
        </w:rPr>
        <w:t>時至</w:t>
      </w:r>
      <w:r w:rsidRPr="0089230D">
        <w:rPr>
          <w:rFonts w:ascii="Times New Roman" w:eastAsia="標楷體" w:hAnsi="Times New Roman" w:cs="Times New Roman" w:hint="eastAsia"/>
          <w:sz w:val="28"/>
          <w:szCs w:val="28"/>
        </w:rPr>
        <w:t>1</w:t>
      </w:r>
      <w:r w:rsidR="000D51B9">
        <w:rPr>
          <w:rFonts w:ascii="Times New Roman" w:eastAsia="標楷體" w:hAnsi="Times New Roman" w:cs="Times New Roman" w:hint="eastAsia"/>
          <w:sz w:val="28"/>
          <w:szCs w:val="28"/>
        </w:rPr>
        <w:t>7</w:t>
      </w:r>
      <w:r w:rsidRPr="0089230D">
        <w:rPr>
          <w:rFonts w:ascii="Times New Roman" w:eastAsia="標楷體" w:hAnsi="Times New Roman" w:cs="Times New Roman" w:hint="eastAsia"/>
          <w:sz w:val="28"/>
          <w:szCs w:val="28"/>
        </w:rPr>
        <w:t>時</w:t>
      </w:r>
    </w:p>
    <w:p w14:paraId="65E78A6F" w14:textId="411824B2" w:rsidR="00AE08FE" w:rsidRPr="009B4330" w:rsidRDefault="00AE08FE" w:rsidP="00AE08FE">
      <w:pPr>
        <w:pStyle w:val="a3"/>
        <w:numPr>
          <w:ilvl w:val="1"/>
          <w:numId w:val="11"/>
        </w:numPr>
        <w:spacing w:line="480" w:lineRule="exact"/>
        <w:ind w:leftChars="0" w:left="227" w:firstLine="0"/>
        <w:contextualSpacing/>
        <w:rPr>
          <w:rFonts w:ascii="Times New Roman" w:eastAsia="標楷體" w:hAnsi="Times New Roman" w:cs="Times New Roman"/>
          <w:b/>
          <w:bCs/>
          <w:sz w:val="28"/>
          <w:szCs w:val="28"/>
        </w:rPr>
      </w:pPr>
      <w:r w:rsidRPr="009B4330">
        <w:rPr>
          <w:rFonts w:ascii="Times New Roman" w:eastAsia="標楷體" w:hAnsi="Times New Roman" w:cs="Times New Roman" w:hint="eastAsia"/>
          <w:b/>
          <w:bCs/>
          <w:sz w:val="28"/>
          <w:szCs w:val="28"/>
        </w:rPr>
        <w:t>地點：</w:t>
      </w:r>
      <w:r w:rsidR="000D51B9">
        <w:rPr>
          <w:rFonts w:ascii="Times New Roman" w:eastAsia="標楷體" w:hAnsi="Times New Roman" w:cs="Times New Roman" w:hint="eastAsia"/>
          <w:sz w:val="28"/>
          <w:szCs w:val="28"/>
        </w:rPr>
        <w:t>臺灣大學藥學專業學院</w:t>
      </w:r>
      <w:r w:rsidR="000D51B9">
        <w:rPr>
          <w:rFonts w:ascii="Times New Roman" w:eastAsia="標楷體" w:hAnsi="Times New Roman" w:cs="Times New Roman" w:hint="eastAsia"/>
          <w:sz w:val="28"/>
          <w:szCs w:val="28"/>
        </w:rPr>
        <w:t>101</w:t>
      </w:r>
      <w:r w:rsidR="000D51B9">
        <w:rPr>
          <w:rFonts w:ascii="Times New Roman" w:eastAsia="標楷體" w:hAnsi="Times New Roman" w:cs="Times New Roman" w:hint="eastAsia"/>
          <w:sz w:val="28"/>
          <w:szCs w:val="28"/>
        </w:rPr>
        <w:t>室</w:t>
      </w:r>
      <w:r>
        <w:rPr>
          <w:rFonts w:ascii="Times New Roman" w:eastAsia="標楷體" w:hAnsi="Times New Roman" w:cs="Times New Roman" w:hint="eastAsia"/>
          <w:sz w:val="28"/>
          <w:szCs w:val="28"/>
        </w:rPr>
        <w:t>（</w:t>
      </w:r>
      <w:r w:rsidRPr="0089230D">
        <w:rPr>
          <w:rFonts w:ascii="Times New Roman" w:eastAsia="標楷體" w:hAnsi="Times New Roman" w:cs="Times New Roman"/>
          <w:sz w:val="28"/>
          <w:szCs w:val="28"/>
        </w:rPr>
        <w:t>臺北市</w:t>
      </w:r>
      <w:r w:rsidR="000D51B9">
        <w:rPr>
          <w:rFonts w:ascii="Times New Roman" w:eastAsia="標楷體" w:hAnsi="Times New Roman" w:cs="Times New Roman" w:hint="eastAsia"/>
          <w:sz w:val="28"/>
          <w:szCs w:val="28"/>
        </w:rPr>
        <w:t>中正</w:t>
      </w:r>
      <w:r w:rsidRPr="0089230D">
        <w:rPr>
          <w:rFonts w:ascii="Times New Roman" w:eastAsia="標楷體" w:hAnsi="Times New Roman" w:cs="Times New Roman"/>
          <w:sz w:val="28"/>
          <w:szCs w:val="28"/>
        </w:rPr>
        <w:t>區</w:t>
      </w:r>
      <w:r w:rsidR="000D51B9">
        <w:rPr>
          <w:rFonts w:ascii="Times New Roman" w:eastAsia="標楷體" w:hAnsi="Times New Roman" w:cs="Times New Roman" w:hint="eastAsia"/>
          <w:sz w:val="28"/>
          <w:szCs w:val="28"/>
        </w:rPr>
        <w:t>林森南</w:t>
      </w:r>
      <w:r w:rsidRPr="0089230D">
        <w:rPr>
          <w:rFonts w:ascii="Times New Roman" w:eastAsia="標楷體" w:hAnsi="Times New Roman" w:cs="Times New Roman"/>
          <w:sz w:val="28"/>
          <w:szCs w:val="28"/>
        </w:rPr>
        <w:t>路</w:t>
      </w:r>
      <w:r w:rsidR="000D51B9">
        <w:rPr>
          <w:rFonts w:ascii="Times New Roman" w:eastAsia="標楷體" w:hAnsi="Times New Roman" w:cs="Times New Roman" w:hint="eastAsia"/>
          <w:sz w:val="28"/>
          <w:szCs w:val="28"/>
        </w:rPr>
        <w:t>33</w:t>
      </w:r>
      <w:r w:rsidRPr="0089230D">
        <w:rPr>
          <w:rFonts w:ascii="Times New Roman" w:eastAsia="標楷體" w:hAnsi="Times New Roman" w:cs="Times New Roman"/>
          <w:sz w:val="28"/>
          <w:szCs w:val="28"/>
        </w:rPr>
        <w:t>號</w:t>
      </w:r>
      <w:r>
        <w:rPr>
          <w:rFonts w:ascii="Times New Roman" w:eastAsia="標楷體" w:hAnsi="Times New Roman" w:cs="Times New Roman" w:hint="eastAsia"/>
          <w:sz w:val="28"/>
          <w:szCs w:val="28"/>
        </w:rPr>
        <w:t>）</w:t>
      </w:r>
    </w:p>
    <w:p w14:paraId="7EB69F5C" w14:textId="2BB54186" w:rsidR="00AE08FE" w:rsidRPr="009B4330" w:rsidRDefault="00AE08FE" w:rsidP="00AE08FE">
      <w:pPr>
        <w:pStyle w:val="a3"/>
        <w:numPr>
          <w:ilvl w:val="1"/>
          <w:numId w:val="11"/>
        </w:numPr>
        <w:spacing w:line="480" w:lineRule="exact"/>
        <w:ind w:leftChars="0" w:left="227" w:firstLine="0"/>
        <w:contextualSpacing/>
        <w:rPr>
          <w:rFonts w:ascii="Times New Roman" w:eastAsia="標楷體" w:hAnsi="Times New Roman" w:cs="Times New Roman"/>
          <w:b/>
          <w:bCs/>
          <w:sz w:val="28"/>
          <w:szCs w:val="28"/>
        </w:rPr>
      </w:pPr>
      <w:r w:rsidRPr="009B4330">
        <w:rPr>
          <w:rFonts w:ascii="Times New Roman" w:eastAsia="標楷體" w:hAnsi="Times New Roman" w:cs="Times New Roman" w:hint="eastAsia"/>
          <w:b/>
          <w:bCs/>
          <w:sz w:val="28"/>
          <w:szCs w:val="28"/>
        </w:rPr>
        <w:t>出席代表</w:t>
      </w:r>
      <w:r>
        <w:rPr>
          <w:rFonts w:ascii="Times New Roman" w:eastAsia="標楷體" w:hAnsi="Times New Roman" w:cs="Times New Roman" w:hint="eastAsia"/>
          <w:b/>
          <w:bCs/>
          <w:sz w:val="28"/>
          <w:szCs w:val="28"/>
        </w:rPr>
        <w:t>：</w:t>
      </w:r>
      <w:proofErr w:type="gramStart"/>
      <w:r w:rsidR="001B6734" w:rsidRPr="001B6734">
        <w:rPr>
          <w:rFonts w:ascii="Times New Roman" w:eastAsia="標楷體" w:hAnsi="Times New Roman" w:cs="Times New Roman" w:hint="eastAsia"/>
          <w:sz w:val="28"/>
          <w:szCs w:val="28"/>
        </w:rPr>
        <w:t>本署</w:t>
      </w:r>
      <w:r w:rsidR="000D51B9">
        <w:rPr>
          <w:rFonts w:ascii="Times New Roman" w:eastAsia="標楷體" w:hAnsi="Times New Roman" w:cs="Times New Roman" w:hint="eastAsia"/>
          <w:sz w:val="28"/>
          <w:szCs w:val="28"/>
        </w:rPr>
        <w:t>顏家瑞</w:t>
      </w:r>
      <w:proofErr w:type="gramEnd"/>
      <w:r w:rsidR="000D51B9">
        <w:rPr>
          <w:rFonts w:ascii="Times New Roman" w:eastAsia="標楷體" w:hAnsi="Times New Roman" w:cs="Times New Roman" w:hint="eastAsia"/>
          <w:sz w:val="28"/>
          <w:szCs w:val="28"/>
        </w:rPr>
        <w:t>副</w:t>
      </w:r>
      <w:r w:rsidRPr="0089230D">
        <w:rPr>
          <w:rFonts w:ascii="Times New Roman" w:eastAsia="標楷體" w:hAnsi="Times New Roman" w:cs="Times New Roman" w:hint="eastAsia"/>
          <w:sz w:val="28"/>
          <w:szCs w:val="28"/>
        </w:rPr>
        <w:t>署長、</w:t>
      </w:r>
      <w:proofErr w:type="gramStart"/>
      <w:r w:rsidRPr="0089230D">
        <w:rPr>
          <w:rFonts w:ascii="Times New Roman" w:eastAsia="標楷體" w:hAnsi="Times New Roman" w:cs="Times New Roman" w:hint="eastAsia"/>
          <w:sz w:val="28"/>
          <w:szCs w:val="28"/>
        </w:rPr>
        <w:t>醫審組</w:t>
      </w:r>
      <w:proofErr w:type="gramEnd"/>
      <w:r w:rsidRPr="0089230D">
        <w:rPr>
          <w:rFonts w:ascii="Times New Roman" w:eastAsia="標楷體" w:hAnsi="Times New Roman" w:cs="Times New Roman" w:hint="eastAsia"/>
          <w:sz w:val="28"/>
          <w:szCs w:val="28"/>
        </w:rPr>
        <w:t>長官</w:t>
      </w:r>
    </w:p>
    <w:p w14:paraId="7CFB80F8" w14:textId="77777777" w:rsidR="00666207" w:rsidRPr="00666207" w:rsidRDefault="00666207" w:rsidP="00666207">
      <w:pPr>
        <w:spacing w:line="480" w:lineRule="exact"/>
        <w:ind w:left="227"/>
        <w:contextualSpacing/>
        <w:rPr>
          <w:rFonts w:ascii="Times New Roman" w:eastAsia="標楷體" w:hAnsi="Times New Roman" w:cs="Times New Roman"/>
          <w:b/>
          <w:bCs/>
          <w:sz w:val="28"/>
          <w:szCs w:val="28"/>
        </w:rPr>
      </w:pPr>
    </w:p>
    <w:p w14:paraId="479E4B1C" w14:textId="105B25FE" w:rsidR="00AE08FE" w:rsidRPr="00AE08FE" w:rsidRDefault="002D2926" w:rsidP="00AE08FE">
      <w:pPr>
        <w:pStyle w:val="a3"/>
        <w:numPr>
          <w:ilvl w:val="0"/>
          <w:numId w:val="11"/>
        </w:numPr>
        <w:spacing w:line="440" w:lineRule="exact"/>
        <w:ind w:leftChars="0"/>
        <w:jc w:val="both"/>
        <w:rPr>
          <w:rFonts w:ascii="Times New Roman" w:eastAsia="標楷體" w:hAnsi="Times New Roman" w:cs="Times New Roman"/>
          <w:b/>
          <w:bCs/>
          <w:color w:val="000000"/>
          <w:sz w:val="32"/>
          <w:szCs w:val="32"/>
        </w:rPr>
      </w:pPr>
      <w:r w:rsidRPr="00180B50">
        <w:rPr>
          <w:rFonts w:ascii="Times New Roman" w:eastAsia="標楷體" w:hAnsi="Times New Roman" w:cs="Times New Roman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2D8440AF" wp14:editId="1AC01EA8">
                <wp:simplePos x="0" y="0"/>
                <wp:positionH relativeFrom="margin">
                  <wp:posOffset>0</wp:posOffset>
                </wp:positionH>
                <wp:positionV relativeFrom="paragraph">
                  <wp:posOffset>372745</wp:posOffset>
                </wp:positionV>
                <wp:extent cx="5734050" cy="1404620"/>
                <wp:effectExtent l="0" t="0" r="19050" b="26670"/>
                <wp:wrapSquare wrapText="bothSides"/>
                <wp:docPr id="2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340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DB4EA55" w14:textId="41BFA505" w:rsidR="00180B50" w:rsidRDefault="00E974D9" w:rsidP="00180B50">
                            <w:pPr>
                              <w:pStyle w:val="a3"/>
                              <w:numPr>
                                <w:ilvl w:val="0"/>
                                <w:numId w:val="2"/>
                              </w:numPr>
                              <w:spacing w:line="440" w:lineRule="exact"/>
                              <w:ind w:leftChars="0" w:left="567" w:hanging="567"/>
                              <w:jc w:val="both"/>
                              <w:rPr>
                                <w:rFonts w:ascii="Times New Roman" w:eastAsia="標楷體" w:hAnsi="Times New Roman" w:cs="Times New Roman"/>
                                <w:color w:val="00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eastAsia="標楷體" w:hAnsi="Times New Roman" w:cs="Times New Roman" w:hint="eastAsia"/>
                                <w:color w:val="000000"/>
                                <w:sz w:val="28"/>
                                <w:szCs w:val="28"/>
                              </w:rPr>
                              <w:t>建立</w:t>
                            </w:r>
                            <w:r>
                              <w:rPr>
                                <w:rFonts w:ascii="Times New Roman" w:eastAsia="標楷體" w:hAnsi="Times New Roman" w:cs="Times New Roman" w:hint="eastAsia"/>
                                <w:color w:val="000000"/>
                                <w:sz w:val="28"/>
                                <w:szCs w:val="28"/>
                              </w:rPr>
                              <w:t>CHPTA</w:t>
                            </w:r>
                            <w:r>
                              <w:rPr>
                                <w:rFonts w:ascii="Times New Roman" w:eastAsia="標楷體" w:hAnsi="Times New Roman" w:cs="Times New Roman" w:hint="eastAsia"/>
                                <w:color w:val="000000"/>
                                <w:sz w:val="28"/>
                                <w:szCs w:val="28"/>
                              </w:rPr>
                              <w:t>「獨立」評估與多元決策機制</w:t>
                            </w:r>
                          </w:p>
                          <w:p w14:paraId="2938F62C" w14:textId="3E6BB0C0" w:rsidR="00E974D9" w:rsidRPr="0043364F" w:rsidRDefault="00E974D9" w:rsidP="0043364F">
                            <w:pPr>
                              <w:pStyle w:val="a3"/>
                              <w:numPr>
                                <w:ilvl w:val="0"/>
                                <w:numId w:val="22"/>
                              </w:numPr>
                              <w:spacing w:line="440" w:lineRule="exact"/>
                              <w:ind w:leftChars="0"/>
                              <w:jc w:val="both"/>
                              <w:rPr>
                                <w:rFonts w:ascii="Times New Roman" w:eastAsia="標楷體" w:hAnsi="Times New Roman" w:cs="Times New Roman"/>
                                <w:color w:val="000000"/>
                                <w:sz w:val="28"/>
                                <w:szCs w:val="28"/>
                              </w:rPr>
                            </w:pPr>
                            <w:r w:rsidRPr="0043364F">
                              <w:rPr>
                                <w:rFonts w:ascii="Times New Roman" w:eastAsia="標楷體" w:hAnsi="Times New Roman" w:cs="Times New Roman" w:hint="eastAsia"/>
                                <w:color w:val="000000"/>
                                <w:sz w:val="28"/>
                                <w:szCs w:val="28"/>
                              </w:rPr>
                              <w:t>參考國際</w:t>
                            </w:r>
                            <w:r w:rsidRPr="0043364F">
                              <w:rPr>
                                <w:rFonts w:ascii="Times New Roman" w:eastAsia="標楷體" w:hAnsi="Times New Roman" w:cs="Times New Roman" w:hint="eastAsia"/>
                                <w:color w:val="000000"/>
                                <w:sz w:val="28"/>
                                <w:szCs w:val="28"/>
                              </w:rPr>
                              <w:t>HTA</w:t>
                            </w:r>
                            <w:r w:rsidRPr="0043364F">
                              <w:rPr>
                                <w:rFonts w:ascii="Times New Roman" w:eastAsia="標楷體" w:hAnsi="Times New Roman" w:cs="Times New Roman" w:hint="eastAsia"/>
                                <w:color w:val="000000"/>
                                <w:sz w:val="28"/>
                                <w:szCs w:val="28"/>
                              </w:rPr>
                              <w:t>單位，如何明確區分「技術評估</w:t>
                            </w:r>
                            <w:r w:rsidR="00BA5F85" w:rsidRPr="0043364F">
                              <w:rPr>
                                <w:rFonts w:ascii="Times New Roman" w:eastAsia="標楷體" w:hAnsi="Times New Roman" w:cs="Times New Roman" w:hint="eastAsia"/>
                                <w:color w:val="000000"/>
                                <w:sz w:val="28"/>
                                <w:szCs w:val="28"/>
                              </w:rPr>
                              <w:t>（</w:t>
                            </w:r>
                            <w:r w:rsidR="00BA5F85" w:rsidRPr="0043364F">
                              <w:rPr>
                                <w:rFonts w:ascii="Times New Roman" w:eastAsia="標楷體" w:hAnsi="Times New Roman" w:cs="Times New Roman" w:hint="eastAsia"/>
                                <w:color w:val="000000"/>
                                <w:sz w:val="28"/>
                                <w:szCs w:val="28"/>
                              </w:rPr>
                              <w:t>assessment</w:t>
                            </w:r>
                            <w:r w:rsidR="00BA5F85" w:rsidRPr="0043364F">
                              <w:rPr>
                                <w:rFonts w:ascii="Times New Roman" w:eastAsia="標楷體" w:hAnsi="Times New Roman" w:cs="Times New Roman" w:hint="eastAsia"/>
                                <w:color w:val="000000"/>
                                <w:sz w:val="28"/>
                                <w:szCs w:val="28"/>
                              </w:rPr>
                              <w:t>）</w:t>
                            </w:r>
                            <w:r w:rsidRPr="0043364F">
                              <w:rPr>
                                <w:rFonts w:ascii="Times New Roman" w:eastAsia="標楷體" w:hAnsi="Times New Roman" w:cs="Times New Roman" w:hint="eastAsia"/>
                                <w:color w:val="000000"/>
                                <w:sz w:val="28"/>
                                <w:szCs w:val="28"/>
                              </w:rPr>
                              <w:t>」與「價值審議</w:t>
                            </w:r>
                            <w:r w:rsidR="00BA5F85" w:rsidRPr="0043364F">
                              <w:rPr>
                                <w:rFonts w:ascii="Times New Roman" w:eastAsia="標楷體" w:hAnsi="Times New Roman" w:cs="Times New Roman" w:hint="eastAsia"/>
                                <w:color w:val="000000"/>
                                <w:sz w:val="28"/>
                                <w:szCs w:val="28"/>
                              </w:rPr>
                              <w:t>（</w:t>
                            </w:r>
                            <w:r w:rsidR="00BA5F85" w:rsidRPr="0043364F">
                              <w:rPr>
                                <w:rFonts w:ascii="Times New Roman" w:eastAsia="標楷體" w:hAnsi="Times New Roman" w:cs="Times New Roman" w:hint="eastAsia"/>
                                <w:color w:val="000000"/>
                                <w:sz w:val="28"/>
                                <w:szCs w:val="28"/>
                              </w:rPr>
                              <w:t>appraisal</w:t>
                            </w:r>
                            <w:r w:rsidR="00BA5F85" w:rsidRPr="0043364F">
                              <w:rPr>
                                <w:rFonts w:ascii="Times New Roman" w:eastAsia="標楷體" w:hAnsi="Times New Roman" w:cs="Times New Roman" w:hint="eastAsia"/>
                                <w:color w:val="000000"/>
                                <w:sz w:val="28"/>
                                <w:szCs w:val="28"/>
                              </w:rPr>
                              <w:t>）</w:t>
                            </w:r>
                            <w:r w:rsidRPr="0043364F">
                              <w:rPr>
                                <w:rFonts w:ascii="Times New Roman" w:eastAsia="標楷體" w:hAnsi="Times New Roman" w:cs="Times New Roman" w:hint="eastAsia"/>
                                <w:color w:val="000000"/>
                                <w:sz w:val="28"/>
                                <w:szCs w:val="28"/>
                              </w:rPr>
                              <w:t>」之功能與責任，以確保決策之科學性與公信力？</w:t>
                            </w:r>
                          </w:p>
                          <w:p w14:paraId="49718890" w14:textId="03CE084C" w:rsidR="00E974D9" w:rsidRPr="00E974D9" w:rsidRDefault="00E974D9" w:rsidP="00E974D9">
                            <w:pPr>
                              <w:pStyle w:val="a3"/>
                              <w:numPr>
                                <w:ilvl w:val="0"/>
                                <w:numId w:val="22"/>
                              </w:numPr>
                              <w:spacing w:line="440" w:lineRule="exact"/>
                              <w:ind w:leftChars="0"/>
                              <w:jc w:val="both"/>
                              <w:rPr>
                                <w:rFonts w:ascii="Times New Roman" w:eastAsia="標楷體" w:hAnsi="Times New Roman" w:cs="Times New Roman"/>
                                <w:color w:val="00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eastAsia="標楷體" w:hAnsi="Times New Roman" w:cs="Times New Roman" w:hint="eastAsia"/>
                                <w:color w:val="000000"/>
                                <w:sz w:val="28"/>
                                <w:szCs w:val="28"/>
                              </w:rPr>
                              <w:t>面對主要利害關係人（健保署、產業及病人），如何建立適當的角色分工與利益迴避機制，以維持決策的客觀性與信任度？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D8440AF" id="_x0000_t202" coordsize="21600,21600" o:spt="202" path="m,l,21600r21600,l21600,xe">
                <v:stroke joinstyle="miter"/>
                <v:path gradientshapeok="t" o:connecttype="rect"/>
              </v:shapetype>
              <v:shape id="文字方塊 2" o:spid="_x0000_s1026" type="#_x0000_t202" style="position:absolute;left:0;text-align:left;margin-left:0;margin-top:29.35pt;width:451.5pt;height:110.6pt;z-index:25166336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">
                <v:textbox style="mso-fit-shape-to-text:t">
                  <w:txbxContent>
                    <w:p w14:paraId="1DB4EA55" w14:textId="41BFA505" w:rsidR="00180B50" w:rsidRDefault="00E974D9" w:rsidP="00180B50">
                      <w:pPr>
                        <w:pStyle w:val="a3"/>
                        <w:numPr>
                          <w:ilvl w:val="0"/>
                          <w:numId w:val="2"/>
                        </w:numPr>
                        <w:spacing w:line="440" w:lineRule="exact"/>
                        <w:ind w:leftChars="0" w:left="567" w:hanging="567"/>
                        <w:jc w:val="both"/>
                        <w:rPr>
                          <w:rFonts w:ascii="Times New Roman" w:eastAsia="標楷體" w:hAnsi="Times New Roman" w:cs="Times New Roman"/>
                          <w:color w:val="000000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eastAsia="標楷體" w:hAnsi="Times New Roman" w:cs="Times New Roman" w:hint="eastAsia"/>
                          <w:color w:val="000000"/>
                          <w:sz w:val="28"/>
                          <w:szCs w:val="28"/>
                        </w:rPr>
                        <w:t>建立</w:t>
                      </w:r>
                      <w:r>
                        <w:rPr>
                          <w:rFonts w:ascii="Times New Roman" w:eastAsia="標楷體" w:hAnsi="Times New Roman" w:cs="Times New Roman" w:hint="eastAsia"/>
                          <w:color w:val="000000"/>
                          <w:sz w:val="28"/>
                          <w:szCs w:val="28"/>
                        </w:rPr>
                        <w:t>CHPTA</w:t>
                      </w:r>
                      <w:r>
                        <w:rPr>
                          <w:rFonts w:ascii="Times New Roman" w:eastAsia="標楷體" w:hAnsi="Times New Roman" w:cs="Times New Roman" w:hint="eastAsia"/>
                          <w:color w:val="000000"/>
                          <w:sz w:val="28"/>
                          <w:szCs w:val="28"/>
                        </w:rPr>
                        <w:t>「獨立」評估與多元決策機制</w:t>
                      </w:r>
                    </w:p>
                    <w:p w14:paraId="2938F62C" w14:textId="3E6BB0C0" w:rsidR="00E974D9" w:rsidRPr="0043364F" w:rsidRDefault="00E974D9" w:rsidP="0043364F">
                      <w:pPr>
                        <w:pStyle w:val="a3"/>
                        <w:numPr>
                          <w:ilvl w:val="0"/>
                          <w:numId w:val="22"/>
                        </w:numPr>
                        <w:spacing w:line="440" w:lineRule="exact"/>
                        <w:ind w:leftChars="0"/>
                        <w:jc w:val="both"/>
                        <w:rPr>
                          <w:rFonts w:ascii="Times New Roman" w:eastAsia="標楷體" w:hAnsi="Times New Roman" w:cs="Times New Roman"/>
                          <w:color w:val="000000"/>
                          <w:sz w:val="28"/>
                          <w:szCs w:val="28"/>
                        </w:rPr>
                      </w:pPr>
                      <w:r w:rsidRPr="0043364F">
                        <w:rPr>
                          <w:rFonts w:ascii="Times New Roman" w:eastAsia="標楷體" w:hAnsi="Times New Roman" w:cs="Times New Roman" w:hint="eastAsia"/>
                          <w:color w:val="000000"/>
                          <w:sz w:val="28"/>
                          <w:szCs w:val="28"/>
                        </w:rPr>
                        <w:t>參考國際</w:t>
                      </w:r>
                      <w:r w:rsidRPr="0043364F">
                        <w:rPr>
                          <w:rFonts w:ascii="Times New Roman" w:eastAsia="標楷體" w:hAnsi="Times New Roman" w:cs="Times New Roman" w:hint="eastAsia"/>
                          <w:color w:val="000000"/>
                          <w:sz w:val="28"/>
                          <w:szCs w:val="28"/>
                        </w:rPr>
                        <w:t>HTA</w:t>
                      </w:r>
                      <w:r w:rsidRPr="0043364F">
                        <w:rPr>
                          <w:rFonts w:ascii="Times New Roman" w:eastAsia="標楷體" w:hAnsi="Times New Roman" w:cs="Times New Roman" w:hint="eastAsia"/>
                          <w:color w:val="000000"/>
                          <w:sz w:val="28"/>
                          <w:szCs w:val="28"/>
                        </w:rPr>
                        <w:t>單位，如何明確區分「技術評估</w:t>
                      </w:r>
                      <w:r w:rsidR="00BA5F85" w:rsidRPr="0043364F">
                        <w:rPr>
                          <w:rFonts w:ascii="Times New Roman" w:eastAsia="標楷體" w:hAnsi="Times New Roman" w:cs="Times New Roman" w:hint="eastAsia"/>
                          <w:color w:val="000000"/>
                          <w:sz w:val="28"/>
                          <w:szCs w:val="28"/>
                        </w:rPr>
                        <w:t>（</w:t>
                      </w:r>
                      <w:r w:rsidR="00BA5F85" w:rsidRPr="0043364F">
                        <w:rPr>
                          <w:rFonts w:ascii="Times New Roman" w:eastAsia="標楷體" w:hAnsi="Times New Roman" w:cs="Times New Roman" w:hint="eastAsia"/>
                          <w:color w:val="000000"/>
                          <w:sz w:val="28"/>
                          <w:szCs w:val="28"/>
                        </w:rPr>
                        <w:t>assessment</w:t>
                      </w:r>
                      <w:r w:rsidR="00BA5F85" w:rsidRPr="0043364F">
                        <w:rPr>
                          <w:rFonts w:ascii="Times New Roman" w:eastAsia="標楷體" w:hAnsi="Times New Roman" w:cs="Times New Roman" w:hint="eastAsia"/>
                          <w:color w:val="000000"/>
                          <w:sz w:val="28"/>
                          <w:szCs w:val="28"/>
                        </w:rPr>
                        <w:t>）</w:t>
                      </w:r>
                      <w:r w:rsidRPr="0043364F">
                        <w:rPr>
                          <w:rFonts w:ascii="Times New Roman" w:eastAsia="標楷體" w:hAnsi="Times New Roman" w:cs="Times New Roman" w:hint="eastAsia"/>
                          <w:color w:val="000000"/>
                          <w:sz w:val="28"/>
                          <w:szCs w:val="28"/>
                        </w:rPr>
                        <w:t>」與「價值審議</w:t>
                      </w:r>
                      <w:r w:rsidR="00BA5F85" w:rsidRPr="0043364F">
                        <w:rPr>
                          <w:rFonts w:ascii="Times New Roman" w:eastAsia="標楷體" w:hAnsi="Times New Roman" w:cs="Times New Roman" w:hint="eastAsia"/>
                          <w:color w:val="000000"/>
                          <w:sz w:val="28"/>
                          <w:szCs w:val="28"/>
                        </w:rPr>
                        <w:t>（</w:t>
                      </w:r>
                      <w:r w:rsidR="00BA5F85" w:rsidRPr="0043364F">
                        <w:rPr>
                          <w:rFonts w:ascii="Times New Roman" w:eastAsia="標楷體" w:hAnsi="Times New Roman" w:cs="Times New Roman" w:hint="eastAsia"/>
                          <w:color w:val="000000"/>
                          <w:sz w:val="28"/>
                          <w:szCs w:val="28"/>
                        </w:rPr>
                        <w:t>appraisal</w:t>
                      </w:r>
                      <w:r w:rsidR="00BA5F85" w:rsidRPr="0043364F">
                        <w:rPr>
                          <w:rFonts w:ascii="Times New Roman" w:eastAsia="標楷體" w:hAnsi="Times New Roman" w:cs="Times New Roman" w:hint="eastAsia"/>
                          <w:color w:val="000000"/>
                          <w:sz w:val="28"/>
                          <w:szCs w:val="28"/>
                        </w:rPr>
                        <w:t>）</w:t>
                      </w:r>
                      <w:r w:rsidRPr="0043364F">
                        <w:rPr>
                          <w:rFonts w:ascii="Times New Roman" w:eastAsia="標楷體" w:hAnsi="Times New Roman" w:cs="Times New Roman" w:hint="eastAsia"/>
                          <w:color w:val="000000"/>
                          <w:sz w:val="28"/>
                          <w:szCs w:val="28"/>
                        </w:rPr>
                        <w:t>」之功能與責任，以確保決策之科學性與公信力？</w:t>
                      </w:r>
                    </w:p>
                    <w:p w14:paraId="49718890" w14:textId="03CE084C" w:rsidR="00E974D9" w:rsidRPr="00E974D9" w:rsidRDefault="00E974D9" w:rsidP="00E974D9">
                      <w:pPr>
                        <w:pStyle w:val="a3"/>
                        <w:numPr>
                          <w:ilvl w:val="0"/>
                          <w:numId w:val="22"/>
                        </w:numPr>
                        <w:spacing w:line="440" w:lineRule="exact"/>
                        <w:ind w:leftChars="0"/>
                        <w:jc w:val="both"/>
                        <w:rPr>
                          <w:rFonts w:ascii="Times New Roman" w:eastAsia="標楷體" w:hAnsi="Times New Roman" w:cs="Times New Roman"/>
                          <w:color w:val="000000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eastAsia="標楷體" w:hAnsi="Times New Roman" w:cs="Times New Roman" w:hint="eastAsia"/>
                          <w:color w:val="000000"/>
                          <w:sz w:val="28"/>
                          <w:szCs w:val="28"/>
                        </w:rPr>
                        <w:t>面對主要利害關係人（健保署、產業及病人），如何建立適當的角色分工與利益迴避機制，以維持決策的客觀性與信任度？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proofErr w:type="gramStart"/>
      <w:r w:rsidR="00AE08FE" w:rsidRPr="00AE08FE">
        <w:rPr>
          <w:rFonts w:ascii="Times New Roman" w:eastAsia="標楷體" w:hAnsi="Times New Roman" w:cs="Times New Roman" w:hint="eastAsia"/>
          <w:b/>
          <w:bCs/>
          <w:color w:val="000000"/>
          <w:sz w:val="32"/>
          <w:szCs w:val="32"/>
        </w:rPr>
        <w:t>談參資料</w:t>
      </w:r>
      <w:proofErr w:type="gramEnd"/>
    </w:p>
    <w:p w14:paraId="5D538008" w14:textId="6FE54E6E" w:rsidR="006066ED" w:rsidRPr="00C25412" w:rsidRDefault="00766A9C" w:rsidP="006066ED">
      <w:pPr>
        <w:spacing w:line="440" w:lineRule="exact"/>
        <w:jc w:val="both"/>
        <w:rPr>
          <w:rFonts w:ascii="Times New Roman" w:eastAsia="標楷體" w:hAnsi="Times New Roman" w:cs="Times New Roman"/>
          <w:color w:val="000000"/>
          <w:sz w:val="28"/>
          <w:szCs w:val="28"/>
        </w:rPr>
      </w:pPr>
      <w:proofErr w:type="gramStart"/>
      <w:r>
        <w:rPr>
          <w:rFonts w:ascii="Times New Roman" w:eastAsia="標楷體" w:hAnsi="Times New Roman" w:cs="Times New Roman" w:hint="eastAsia"/>
          <w:color w:val="000000"/>
          <w:sz w:val="28"/>
          <w:szCs w:val="28"/>
          <w:shd w:val="pct15" w:color="auto" w:fill="FFFFFF"/>
        </w:rPr>
        <w:t>本署</w:t>
      </w:r>
      <w:r w:rsidRPr="00766A9C">
        <w:rPr>
          <w:rFonts w:ascii="Times New Roman" w:eastAsia="標楷體" w:hAnsi="Times New Roman" w:cs="Times New Roman" w:hint="eastAsia"/>
          <w:color w:val="000000"/>
          <w:sz w:val="28"/>
          <w:szCs w:val="28"/>
          <w:shd w:val="pct15" w:color="auto" w:fill="FFFFFF"/>
        </w:rPr>
        <w:t>說明</w:t>
      </w:r>
      <w:proofErr w:type="gramEnd"/>
      <w:r w:rsidR="0043364F">
        <w:rPr>
          <w:rFonts w:ascii="Times New Roman" w:eastAsia="標楷體" w:hAnsi="Times New Roman" w:cs="Times New Roman" w:hint="eastAsia"/>
          <w:color w:val="000000"/>
          <w:sz w:val="28"/>
          <w:szCs w:val="28"/>
          <w:shd w:val="pct15" w:color="auto" w:fill="FFFFFF"/>
        </w:rPr>
        <w:t>1</w:t>
      </w:r>
      <w:r w:rsidRPr="00766A9C">
        <w:rPr>
          <w:rFonts w:ascii="Times New Roman" w:eastAsia="標楷體" w:hAnsi="Times New Roman" w:cs="Times New Roman" w:hint="eastAsia"/>
          <w:color w:val="000000"/>
          <w:sz w:val="28"/>
          <w:szCs w:val="28"/>
          <w:shd w:val="pct15" w:color="auto" w:fill="FFFFFF"/>
        </w:rPr>
        <w:t>：</w:t>
      </w:r>
    </w:p>
    <w:p w14:paraId="54D3CA25" w14:textId="315411D5" w:rsidR="00766A9C" w:rsidRDefault="00EF5796" w:rsidP="00180B50">
      <w:pPr>
        <w:spacing w:line="440" w:lineRule="exact"/>
        <w:jc w:val="both"/>
        <w:rPr>
          <w:rFonts w:ascii="Times New Roman" w:eastAsia="標楷體" w:hAnsi="Times New Roman" w:cs="Times New Roman"/>
          <w:color w:val="000000"/>
          <w:sz w:val="28"/>
          <w:szCs w:val="28"/>
        </w:rPr>
      </w:pPr>
      <w:r>
        <w:rPr>
          <w:rFonts w:ascii="Times New Roman" w:eastAsia="標楷體" w:hAnsi="Times New Roman" w:cs="Times New Roman" w:hint="eastAsia"/>
          <w:color w:val="000000"/>
          <w:sz w:val="28"/>
          <w:szCs w:val="28"/>
        </w:rPr>
        <w:t>國際</w:t>
      </w:r>
      <w:r>
        <w:rPr>
          <w:rFonts w:ascii="Times New Roman" w:eastAsia="標楷體" w:hAnsi="Times New Roman" w:cs="Times New Roman" w:hint="eastAsia"/>
          <w:color w:val="000000"/>
          <w:sz w:val="28"/>
          <w:szCs w:val="28"/>
        </w:rPr>
        <w:t>HTA</w:t>
      </w:r>
      <w:proofErr w:type="gramStart"/>
      <w:r>
        <w:rPr>
          <w:rFonts w:ascii="Times New Roman" w:eastAsia="標楷體" w:hAnsi="Times New Roman" w:cs="Times New Roman" w:hint="eastAsia"/>
          <w:color w:val="000000"/>
          <w:sz w:val="28"/>
          <w:szCs w:val="28"/>
        </w:rPr>
        <w:t>採</w:t>
      </w:r>
      <w:proofErr w:type="gramEnd"/>
      <w:r>
        <w:rPr>
          <w:rFonts w:ascii="Times New Roman" w:eastAsia="標楷體" w:hAnsi="Times New Roman" w:cs="Times New Roman" w:hint="eastAsia"/>
          <w:color w:val="000000"/>
          <w:sz w:val="28"/>
          <w:szCs w:val="28"/>
        </w:rPr>
        <w:t>行「</w:t>
      </w:r>
      <w:r>
        <w:rPr>
          <w:rFonts w:ascii="Times New Roman" w:eastAsia="標楷體" w:hAnsi="Times New Roman" w:cs="Times New Roman" w:hint="eastAsia"/>
          <w:color w:val="000000"/>
          <w:sz w:val="28"/>
          <w:szCs w:val="28"/>
        </w:rPr>
        <w:t>assessment</w:t>
      </w:r>
      <w:r>
        <w:rPr>
          <w:rFonts w:ascii="Times New Roman" w:eastAsia="標楷體" w:hAnsi="Times New Roman" w:cs="Times New Roman" w:hint="eastAsia"/>
          <w:color w:val="000000"/>
          <w:sz w:val="28"/>
          <w:szCs w:val="28"/>
        </w:rPr>
        <w:t>（技術評估）」與「</w:t>
      </w:r>
      <w:r>
        <w:rPr>
          <w:rFonts w:ascii="Times New Roman" w:eastAsia="標楷體" w:hAnsi="Times New Roman" w:cs="Times New Roman" w:hint="eastAsia"/>
          <w:color w:val="000000"/>
          <w:sz w:val="28"/>
          <w:szCs w:val="28"/>
        </w:rPr>
        <w:t>appraisal</w:t>
      </w:r>
      <w:r>
        <w:rPr>
          <w:rFonts w:ascii="Times New Roman" w:eastAsia="標楷體" w:hAnsi="Times New Roman" w:cs="Times New Roman" w:hint="eastAsia"/>
          <w:color w:val="000000"/>
          <w:sz w:val="28"/>
          <w:szCs w:val="28"/>
        </w:rPr>
        <w:t>（價值審議）」之分工，</w:t>
      </w:r>
      <w:r w:rsidR="00A06F23">
        <w:rPr>
          <w:rFonts w:ascii="Times New Roman" w:eastAsia="標楷體" w:hAnsi="Times New Roman" w:cs="Times New Roman" w:hint="eastAsia"/>
          <w:color w:val="000000"/>
          <w:sz w:val="28"/>
          <w:szCs w:val="28"/>
        </w:rPr>
        <w:t>目前國內</w:t>
      </w:r>
      <w:r w:rsidR="00A06F23">
        <w:rPr>
          <w:rFonts w:ascii="Times New Roman" w:eastAsia="標楷體" w:hAnsi="Times New Roman" w:cs="Times New Roman" w:hint="eastAsia"/>
          <w:color w:val="000000"/>
          <w:sz w:val="28"/>
          <w:szCs w:val="28"/>
        </w:rPr>
        <w:t>HTA</w:t>
      </w:r>
      <w:r w:rsidR="00A06F23">
        <w:rPr>
          <w:rFonts w:ascii="Times New Roman" w:eastAsia="標楷體" w:hAnsi="Times New Roman" w:cs="Times New Roman" w:hint="eastAsia"/>
          <w:color w:val="000000"/>
          <w:sz w:val="28"/>
          <w:szCs w:val="28"/>
        </w:rPr>
        <w:t>規劃已與國際趨勢一致，且我國現行制度也已具備相對應之運作基礎</w:t>
      </w:r>
      <w:r>
        <w:rPr>
          <w:rFonts w:ascii="Times New Roman" w:eastAsia="標楷體" w:hAnsi="Times New Roman" w:cs="Times New Roman" w:hint="eastAsia"/>
          <w:color w:val="000000"/>
          <w:sz w:val="28"/>
          <w:szCs w:val="28"/>
        </w:rPr>
        <w:t>：</w:t>
      </w:r>
    </w:p>
    <w:p w14:paraId="1EBADF60" w14:textId="0A7E5652" w:rsidR="00EF5796" w:rsidRDefault="00EF5796" w:rsidP="00EF5796">
      <w:pPr>
        <w:pStyle w:val="a3"/>
        <w:numPr>
          <w:ilvl w:val="0"/>
          <w:numId w:val="36"/>
        </w:numPr>
        <w:spacing w:line="440" w:lineRule="exact"/>
        <w:ind w:leftChars="0"/>
        <w:jc w:val="both"/>
        <w:rPr>
          <w:rFonts w:ascii="Times New Roman" w:eastAsia="標楷體" w:hAnsi="Times New Roman" w:cs="Times New Roman"/>
          <w:color w:val="000000"/>
          <w:sz w:val="28"/>
          <w:szCs w:val="28"/>
        </w:rPr>
      </w:pPr>
      <w:r>
        <w:rPr>
          <w:rFonts w:ascii="Times New Roman" w:eastAsia="標楷體" w:hAnsi="Times New Roman" w:cs="Times New Roman" w:hint="eastAsia"/>
          <w:color w:val="000000"/>
          <w:sz w:val="28"/>
          <w:szCs w:val="28"/>
        </w:rPr>
        <w:t>我國現行制度分工實務</w:t>
      </w:r>
    </w:p>
    <w:p w14:paraId="55DB6C33" w14:textId="5692F2A0" w:rsidR="00EF5796" w:rsidRDefault="00EF5796" w:rsidP="00EF5796">
      <w:pPr>
        <w:pStyle w:val="a3"/>
        <w:numPr>
          <w:ilvl w:val="0"/>
          <w:numId w:val="37"/>
        </w:numPr>
        <w:spacing w:line="440" w:lineRule="exact"/>
        <w:ind w:leftChars="0"/>
        <w:jc w:val="both"/>
        <w:rPr>
          <w:rFonts w:ascii="Times New Roman" w:eastAsia="標楷體" w:hAnsi="Times New Roman" w:cs="Times New Roman"/>
          <w:color w:val="000000"/>
          <w:sz w:val="28"/>
          <w:szCs w:val="28"/>
        </w:rPr>
      </w:pPr>
      <w:r w:rsidRPr="00EF5796">
        <w:rPr>
          <w:rFonts w:ascii="Times New Roman" w:eastAsia="標楷體" w:hAnsi="Times New Roman" w:cs="Times New Roman" w:hint="eastAsia"/>
          <w:color w:val="000000"/>
          <w:sz w:val="28"/>
          <w:szCs w:val="28"/>
        </w:rPr>
        <w:t>由</w:t>
      </w:r>
      <w:r w:rsidRPr="00EF5796">
        <w:rPr>
          <w:rFonts w:ascii="Times New Roman" w:eastAsia="標楷體" w:hAnsi="Times New Roman" w:cs="Times New Roman" w:hint="eastAsia"/>
          <w:color w:val="000000"/>
          <w:sz w:val="28"/>
          <w:szCs w:val="28"/>
        </w:rPr>
        <w:t>CDE HTA</w:t>
      </w:r>
      <w:r w:rsidRPr="00EF5796">
        <w:rPr>
          <w:rFonts w:ascii="Times New Roman" w:eastAsia="標楷體" w:hAnsi="Times New Roman" w:cs="Times New Roman" w:hint="eastAsia"/>
          <w:color w:val="000000"/>
          <w:sz w:val="28"/>
          <w:szCs w:val="28"/>
        </w:rPr>
        <w:t>專業團隊</w:t>
      </w:r>
      <w:r>
        <w:rPr>
          <w:rFonts w:ascii="Times New Roman" w:eastAsia="標楷體" w:hAnsi="Times New Roman" w:cs="Times New Roman" w:hint="eastAsia"/>
          <w:color w:val="000000"/>
          <w:sz w:val="28"/>
          <w:szCs w:val="28"/>
        </w:rPr>
        <w:t>扮演技術評估（</w:t>
      </w:r>
      <w:r>
        <w:rPr>
          <w:rFonts w:ascii="Times New Roman" w:eastAsia="標楷體" w:hAnsi="Times New Roman" w:cs="Times New Roman" w:hint="eastAsia"/>
          <w:color w:val="000000"/>
          <w:sz w:val="28"/>
          <w:szCs w:val="28"/>
        </w:rPr>
        <w:t>assessment</w:t>
      </w:r>
      <w:r>
        <w:rPr>
          <w:rFonts w:ascii="Times New Roman" w:eastAsia="標楷體" w:hAnsi="Times New Roman" w:cs="Times New Roman" w:hint="eastAsia"/>
          <w:color w:val="000000"/>
          <w:sz w:val="28"/>
          <w:szCs w:val="28"/>
        </w:rPr>
        <w:t>）之角色，</w:t>
      </w:r>
      <w:r w:rsidRPr="00EF5796">
        <w:rPr>
          <w:rFonts w:ascii="Times New Roman" w:eastAsia="標楷體" w:hAnsi="Times New Roman" w:cs="Times New Roman" w:hint="eastAsia"/>
          <w:color w:val="000000"/>
          <w:sz w:val="28"/>
          <w:szCs w:val="28"/>
        </w:rPr>
        <w:t>系統性蒐集與分析臨床療效、安全性、成本效果及預算影響等證據，並完成評估報告。</w:t>
      </w:r>
    </w:p>
    <w:p w14:paraId="750DC5F5" w14:textId="177C12D0" w:rsidR="00EF5796" w:rsidRDefault="00EF5796" w:rsidP="00EF5796">
      <w:pPr>
        <w:pStyle w:val="a3"/>
        <w:numPr>
          <w:ilvl w:val="0"/>
          <w:numId w:val="37"/>
        </w:numPr>
        <w:spacing w:line="440" w:lineRule="exact"/>
        <w:ind w:leftChars="0"/>
        <w:jc w:val="both"/>
        <w:rPr>
          <w:rFonts w:ascii="Times New Roman" w:eastAsia="標楷體" w:hAnsi="Times New Roman" w:cs="Times New Roman"/>
          <w:color w:val="000000"/>
          <w:sz w:val="28"/>
          <w:szCs w:val="28"/>
        </w:rPr>
      </w:pPr>
      <w:r>
        <w:rPr>
          <w:rFonts w:ascii="Times New Roman" w:eastAsia="標楷體" w:hAnsi="Times New Roman" w:cs="Times New Roman" w:hint="eastAsia"/>
          <w:color w:val="000000"/>
          <w:sz w:val="28"/>
          <w:szCs w:val="28"/>
        </w:rPr>
        <w:t>專家諮詢會議則是技術評估之延伸，依據</w:t>
      </w:r>
      <w:r>
        <w:rPr>
          <w:rFonts w:ascii="Times New Roman" w:eastAsia="標楷體" w:hAnsi="Times New Roman" w:cs="Times New Roman" w:hint="eastAsia"/>
          <w:color w:val="000000"/>
          <w:sz w:val="28"/>
          <w:szCs w:val="28"/>
        </w:rPr>
        <w:t>HTA</w:t>
      </w:r>
      <w:r>
        <w:rPr>
          <w:rFonts w:ascii="Times New Roman" w:eastAsia="標楷體" w:hAnsi="Times New Roman" w:cs="Times New Roman" w:hint="eastAsia"/>
          <w:color w:val="000000"/>
          <w:sz w:val="28"/>
          <w:szCs w:val="28"/>
        </w:rPr>
        <w:t>報告進行專業討論，提供臨床與方法學意見，形成專業建議。</w:t>
      </w:r>
    </w:p>
    <w:p w14:paraId="07FB6FD5" w14:textId="55B4CC64" w:rsidR="007E7A86" w:rsidRPr="00090CCF" w:rsidRDefault="00EF5796" w:rsidP="007E7A86">
      <w:pPr>
        <w:pStyle w:val="a3"/>
        <w:numPr>
          <w:ilvl w:val="0"/>
          <w:numId w:val="37"/>
        </w:numPr>
        <w:spacing w:line="440" w:lineRule="exact"/>
        <w:ind w:leftChars="0"/>
        <w:jc w:val="both"/>
        <w:rPr>
          <w:rFonts w:ascii="Times New Roman" w:eastAsia="標楷體" w:hAnsi="Times New Roman" w:cs="Times New Roman" w:hint="eastAsia"/>
          <w:color w:val="000000"/>
          <w:sz w:val="28"/>
          <w:szCs w:val="28"/>
        </w:rPr>
      </w:pPr>
      <w:r>
        <w:rPr>
          <w:rFonts w:ascii="Times New Roman" w:eastAsia="標楷體" w:hAnsi="Times New Roman" w:cs="Times New Roman" w:hint="eastAsia"/>
          <w:color w:val="000000"/>
          <w:sz w:val="28"/>
          <w:szCs w:val="28"/>
        </w:rPr>
        <w:t>共擬會議則進入價值審議（</w:t>
      </w:r>
      <w:r>
        <w:rPr>
          <w:rFonts w:ascii="Times New Roman" w:eastAsia="標楷體" w:hAnsi="Times New Roman" w:cs="Times New Roman" w:hint="eastAsia"/>
          <w:color w:val="000000"/>
          <w:sz w:val="28"/>
          <w:szCs w:val="28"/>
        </w:rPr>
        <w:t>appraisal</w:t>
      </w:r>
      <w:r>
        <w:rPr>
          <w:rFonts w:ascii="Times New Roman" w:eastAsia="標楷體" w:hAnsi="Times New Roman" w:cs="Times New Roman" w:hint="eastAsia"/>
          <w:color w:val="000000"/>
          <w:sz w:val="28"/>
          <w:szCs w:val="28"/>
        </w:rPr>
        <w:t>）階段，</w:t>
      </w:r>
      <w:proofErr w:type="gramStart"/>
      <w:r w:rsidR="007E7A86">
        <w:rPr>
          <w:rFonts w:ascii="Times New Roman" w:eastAsia="標楷體" w:hAnsi="Times New Roman" w:cs="Times New Roman" w:hint="eastAsia"/>
          <w:color w:val="000000"/>
          <w:sz w:val="28"/>
          <w:szCs w:val="28"/>
        </w:rPr>
        <w:t>綜整</w:t>
      </w:r>
      <w:proofErr w:type="gramEnd"/>
      <w:r w:rsidR="007E7A86">
        <w:rPr>
          <w:rFonts w:ascii="Times New Roman" w:eastAsia="標楷體" w:hAnsi="Times New Roman" w:cs="Times New Roman" w:hint="eastAsia"/>
          <w:color w:val="000000"/>
          <w:sz w:val="28"/>
          <w:szCs w:val="28"/>
        </w:rPr>
        <w:t>HTA</w:t>
      </w:r>
      <w:r w:rsidR="007E7A86">
        <w:rPr>
          <w:rFonts w:ascii="Times New Roman" w:eastAsia="標楷體" w:hAnsi="Times New Roman" w:cs="Times New Roman" w:hint="eastAsia"/>
          <w:color w:val="000000"/>
          <w:sz w:val="28"/>
          <w:szCs w:val="28"/>
        </w:rPr>
        <w:t>評估結果與專家意見，並納入政策與實務考量，形成具體建議或共識決議。</w:t>
      </w:r>
    </w:p>
    <w:p w14:paraId="6CBA9B50" w14:textId="5AE6CA41" w:rsidR="00EF5796" w:rsidRDefault="00EF5796" w:rsidP="00EF5796">
      <w:pPr>
        <w:pStyle w:val="a3"/>
        <w:numPr>
          <w:ilvl w:val="0"/>
          <w:numId w:val="36"/>
        </w:numPr>
        <w:spacing w:line="440" w:lineRule="exact"/>
        <w:ind w:leftChars="0"/>
        <w:jc w:val="both"/>
        <w:rPr>
          <w:rFonts w:ascii="Times New Roman" w:eastAsia="標楷體" w:hAnsi="Times New Roman" w:cs="Times New Roman"/>
          <w:color w:val="000000"/>
          <w:sz w:val="28"/>
          <w:szCs w:val="28"/>
        </w:rPr>
      </w:pPr>
      <w:r>
        <w:rPr>
          <w:rFonts w:ascii="Times New Roman" w:eastAsia="標楷體" w:hAnsi="Times New Roman" w:cs="Times New Roman" w:hint="eastAsia"/>
          <w:color w:val="000000"/>
          <w:sz w:val="28"/>
          <w:szCs w:val="28"/>
        </w:rPr>
        <w:t>價值審議（</w:t>
      </w:r>
      <w:r>
        <w:rPr>
          <w:rFonts w:ascii="Times New Roman" w:eastAsia="標楷體" w:hAnsi="Times New Roman" w:cs="Times New Roman" w:hint="eastAsia"/>
          <w:color w:val="000000"/>
          <w:sz w:val="28"/>
          <w:szCs w:val="28"/>
        </w:rPr>
        <w:t>appraisal</w:t>
      </w:r>
      <w:r>
        <w:rPr>
          <w:rFonts w:ascii="Times New Roman" w:eastAsia="標楷體" w:hAnsi="Times New Roman" w:cs="Times New Roman" w:hint="eastAsia"/>
          <w:color w:val="000000"/>
          <w:sz w:val="28"/>
          <w:szCs w:val="28"/>
        </w:rPr>
        <w:t>）之定位</w:t>
      </w:r>
    </w:p>
    <w:p w14:paraId="1C860055" w14:textId="11055BF7" w:rsidR="007E7A86" w:rsidRPr="007E7A86" w:rsidRDefault="007E7A86" w:rsidP="007E7A86">
      <w:pPr>
        <w:spacing w:line="440" w:lineRule="exact"/>
        <w:jc w:val="both"/>
        <w:rPr>
          <w:rFonts w:ascii="Times New Roman" w:eastAsia="標楷體" w:hAnsi="Times New Roman" w:cs="Times New Roman" w:hint="eastAsia"/>
          <w:color w:val="000000"/>
          <w:sz w:val="28"/>
          <w:szCs w:val="28"/>
        </w:rPr>
      </w:pPr>
      <w:r>
        <w:rPr>
          <w:rFonts w:ascii="Times New Roman" w:eastAsia="標楷體" w:hAnsi="Times New Roman" w:cs="Times New Roman" w:hint="eastAsia"/>
          <w:color w:val="000000"/>
          <w:sz w:val="28"/>
          <w:szCs w:val="28"/>
        </w:rPr>
        <w:t xml:space="preserve">　　</w:t>
      </w:r>
      <w:r w:rsidRPr="007E7A86">
        <w:rPr>
          <w:rFonts w:ascii="Times New Roman" w:eastAsia="標楷體" w:hAnsi="Times New Roman" w:cs="Times New Roman" w:hint="eastAsia"/>
          <w:color w:val="000000"/>
          <w:sz w:val="28"/>
          <w:szCs w:val="28"/>
        </w:rPr>
        <w:t>由健保相關審議會議進行最終決策，</w:t>
      </w:r>
      <w:r w:rsidRPr="007E7A86">
        <w:rPr>
          <w:rFonts w:ascii="Times New Roman" w:eastAsia="標楷體" w:hAnsi="Times New Roman" w:cs="Times New Roman" w:hint="eastAsia"/>
          <w:color w:val="000000"/>
          <w:sz w:val="28"/>
          <w:szCs w:val="28"/>
        </w:rPr>
        <w:t>綜合考量醫療需求、財務負擔、倫理與公平性等因素，作成給付與價格決定</w:t>
      </w:r>
      <w:r w:rsidRPr="007E7A86">
        <w:rPr>
          <w:rFonts w:ascii="Times New Roman" w:eastAsia="標楷體" w:hAnsi="Times New Roman" w:cs="Times New Roman" w:hint="eastAsia"/>
          <w:color w:val="000000"/>
          <w:sz w:val="28"/>
          <w:szCs w:val="28"/>
        </w:rPr>
        <w:t>，屬於政策層級之價值判斷與資源配置決策。</w:t>
      </w:r>
    </w:p>
    <w:p w14:paraId="4544869D" w14:textId="66782CE7" w:rsidR="00EF5796" w:rsidRDefault="00EF5796" w:rsidP="00EF5796">
      <w:pPr>
        <w:pStyle w:val="a3"/>
        <w:numPr>
          <w:ilvl w:val="0"/>
          <w:numId w:val="36"/>
        </w:numPr>
        <w:spacing w:line="440" w:lineRule="exact"/>
        <w:ind w:leftChars="0"/>
        <w:jc w:val="both"/>
        <w:rPr>
          <w:rFonts w:ascii="Times New Roman" w:eastAsia="標楷體" w:hAnsi="Times New Roman" w:cs="Times New Roman"/>
          <w:color w:val="000000"/>
          <w:sz w:val="28"/>
          <w:szCs w:val="28"/>
        </w:rPr>
      </w:pPr>
      <w:r>
        <w:rPr>
          <w:rFonts w:ascii="Times New Roman" w:eastAsia="標楷體" w:hAnsi="Times New Roman" w:cs="Times New Roman" w:hint="eastAsia"/>
          <w:color w:val="000000"/>
          <w:sz w:val="28"/>
          <w:szCs w:val="28"/>
        </w:rPr>
        <w:lastRenderedPageBreak/>
        <w:t>制度核心精神</w:t>
      </w:r>
    </w:p>
    <w:p w14:paraId="20DE14F0" w14:textId="2F8E46F3" w:rsidR="007E7A86" w:rsidRDefault="00090CCF" w:rsidP="007E7A86">
      <w:pPr>
        <w:pStyle w:val="a3"/>
        <w:numPr>
          <w:ilvl w:val="0"/>
          <w:numId w:val="39"/>
        </w:numPr>
        <w:spacing w:line="440" w:lineRule="exact"/>
        <w:ind w:leftChars="0"/>
        <w:jc w:val="both"/>
        <w:rPr>
          <w:rFonts w:ascii="Times New Roman" w:eastAsia="標楷體" w:hAnsi="Times New Roman" w:cs="Times New Roman"/>
          <w:color w:val="000000"/>
          <w:sz w:val="28"/>
          <w:szCs w:val="28"/>
        </w:rPr>
      </w:pPr>
      <w:r>
        <w:rPr>
          <w:rFonts w:ascii="Times New Roman" w:eastAsia="標楷體" w:hAnsi="Times New Roman" w:cs="Times New Roman" w:hint="eastAsia"/>
          <w:color w:val="000000"/>
          <w:sz w:val="28"/>
          <w:szCs w:val="28"/>
        </w:rPr>
        <w:t>技術評估</w:t>
      </w:r>
      <w:r w:rsidR="007E7A86">
        <w:rPr>
          <w:rFonts w:ascii="Times New Roman" w:eastAsia="標楷體" w:hAnsi="Times New Roman" w:cs="Times New Roman" w:hint="eastAsia"/>
          <w:color w:val="000000"/>
          <w:sz w:val="28"/>
          <w:szCs w:val="28"/>
        </w:rPr>
        <w:t>：強調科學證據與專業分析（</w:t>
      </w:r>
      <w:r w:rsidR="007E7A86">
        <w:rPr>
          <w:rFonts w:ascii="Times New Roman" w:eastAsia="標楷體" w:hAnsi="Times New Roman" w:cs="Times New Roman" w:hint="eastAsia"/>
          <w:color w:val="000000"/>
          <w:sz w:val="28"/>
          <w:szCs w:val="28"/>
        </w:rPr>
        <w:t>HTA</w:t>
      </w:r>
      <w:r w:rsidR="007E7A86">
        <w:rPr>
          <w:rFonts w:ascii="Times New Roman" w:eastAsia="標楷體" w:hAnsi="Times New Roman" w:cs="Times New Roman" w:hint="eastAsia"/>
          <w:color w:val="000000"/>
          <w:sz w:val="28"/>
          <w:szCs w:val="28"/>
        </w:rPr>
        <w:t>團隊主導）</w:t>
      </w:r>
    </w:p>
    <w:p w14:paraId="098E209F" w14:textId="061E59F3" w:rsidR="007E7A86" w:rsidRDefault="00090CCF" w:rsidP="007E7A86">
      <w:pPr>
        <w:pStyle w:val="a3"/>
        <w:numPr>
          <w:ilvl w:val="0"/>
          <w:numId w:val="39"/>
        </w:numPr>
        <w:spacing w:line="440" w:lineRule="exact"/>
        <w:ind w:leftChars="0"/>
        <w:jc w:val="both"/>
        <w:rPr>
          <w:rFonts w:ascii="Times New Roman" w:eastAsia="標楷體" w:hAnsi="Times New Roman" w:cs="Times New Roman"/>
          <w:color w:val="000000"/>
          <w:sz w:val="28"/>
          <w:szCs w:val="28"/>
        </w:rPr>
      </w:pPr>
      <w:r>
        <w:rPr>
          <w:rFonts w:ascii="Times New Roman" w:eastAsia="標楷體" w:hAnsi="Times New Roman" w:cs="Times New Roman" w:hint="eastAsia"/>
          <w:color w:val="000000"/>
          <w:sz w:val="28"/>
          <w:szCs w:val="28"/>
        </w:rPr>
        <w:t>價值審議</w:t>
      </w:r>
      <w:r w:rsidR="007E7A86">
        <w:rPr>
          <w:rFonts w:ascii="Times New Roman" w:eastAsia="標楷體" w:hAnsi="Times New Roman" w:cs="Times New Roman" w:hint="eastAsia"/>
          <w:color w:val="000000"/>
          <w:sz w:val="28"/>
          <w:szCs w:val="28"/>
        </w:rPr>
        <w:t>：強調政策判斷與社會價值（決策機關主導）</w:t>
      </w:r>
    </w:p>
    <w:p w14:paraId="6E612C2E" w14:textId="74352DA1" w:rsidR="007E7A86" w:rsidRPr="007E7A86" w:rsidRDefault="00090CCF" w:rsidP="007E7A86">
      <w:pPr>
        <w:pStyle w:val="a3"/>
        <w:numPr>
          <w:ilvl w:val="0"/>
          <w:numId w:val="39"/>
        </w:numPr>
        <w:spacing w:line="440" w:lineRule="exact"/>
        <w:ind w:leftChars="0"/>
        <w:jc w:val="both"/>
        <w:rPr>
          <w:rFonts w:ascii="Times New Roman" w:eastAsia="標楷體" w:hAnsi="Times New Roman" w:cs="Times New Roman" w:hint="eastAsia"/>
          <w:color w:val="000000"/>
          <w:sz w:val="28"/>
          <w:szCs w:val="28"/>
        </w:rPr>
      </w:pPr>
      <w:r>
        <w:rPr>
          <w:rFonts w:ascii="Times New Roman" w:eastAsia="標楷體" w:hAnsi="Times New Roman" w:cs="Times New Roman" w:hint="eastAsia"/>
          <w:color w:val="000000"/>
          <w:sz w:val="28"/>
          <w:szCs w:val="28"/>
        </w:rPr>
        <w:t>兩者分工明確且相互銜接，確保決策兼具科學性與正當性。</w:t>
      </w:r>
    </w:p>
    <w:p w14:paraId="0D43CD77" w14:textId="787978C7" w:rsidR="00EF5796" w:rsidRDefault="00EF5796" w:rsidP="00EF5796">
      <w:pPr>
        <w:pStyle w:val="a3"/>
        <w:numPr>
          <w:ilvl w:val="0"/>
          <w:numId w:val="36"/>
        </w:numPr>
        <w:spacing w:line="440" w:lineRule="exact"/>
        <w:ind w:leftChars="0"/>
        <w:jc w:val="both"/>
        <w:rPr>
          <w:rFonts w:ascii="Times New Roman" w:eastAsia="標楷體" w:hAnsi="Times New Roman" w:cs="Times New Roman"/>
          <w:color w:val="000000"/>
          <w:sz w:val="28"/>
          <w:szCs w:val="28"/>
        </w:rPr>
      </w:pPr>
      <w:r>
        <w:rPr>
          <w:rFonts w:ascii="Times New Roman" w:eastAsia="標楷體" w:hAnsi="Times New Roman" w:cs="Times New Roman" w:hint="eastAsia"/>
          <w:color w:val="000000"/>
          <w:sz w:val="28"/>
          <w:szCs w:val="28"/>
        </w:rPr>
        <w:t>未來制度強化方向</w:t>
      </w:r>
    </w:p>
    <w:p w14:paraId="171B899D" w14:textId="0B4081DE" w:rsidR="00090CCF" w:rsidRDefault="00090CCF" w:rsidP="00090CCF">
      <w:pPr>
        <w:pStyle w:val="a3"/>
        <w:numPr>
          <w:ilvl w:val="0"/>
          <w:numId w:val="40"/>
        </w:numPr>
        <w:spacing w:line="440" w:lineRule="exact"/>
        <w:ind w:leftChars="0"/>
        <w:jc w:val="both"/>
        <w:rPr>
          <w:rFonts w:ascii="Times New Roman" w:eastAsia="標楷體" w:hAnsi="Times New Roman" w:cs="Times New Roman"/>
          <w:color w:val="000000"/>
          <w:sz w:val="28"/>
          <w:szCs w:val="28"/>
        </w:rPr>
      </w:pPr>
      <w:r>
        <w:rPr>
          <w:rFonts w:ascii="Times New Roman" w:eastAsia="標楷體" w:hAnsi="Times New Roman" w:cs="Times New Roman" w:hint="eastAsia"/>
          <w:color w:val="000000"/>
          <w:sz w:val="28"/>
          <w:szCs w:val="28"/>
        </w:rPr>
        <w:t>透過行政法人化，進一步強化技術評估單位之獨立性、專業性及經費的穩定性</w:t>
      </w:r>
    </w:p>
    <w:p w14:paraId="04A75992" w14:textId="37AD3B36" w:rsidR="00090CCF" w:rsidRDefault="00090CCF" w:rsidP="00090CCF">
      <w:pPr>
        <w:pStyle w:val="a3"/>
        <w:numPr>
          <w:ilvl w:val="0"/>
          <w:numId w:val="40"/>
        </w:numPr>
        <w:spacing w:line="440" w:lineRule="exact"/>
        <w:ind w:leftChars="0"/>
        <w:jc w:val="both"/>
        <w:rPr>
          <w:rFonts w:ascii="Times New Roman" w:eastAsia="標楷體" w:hAnsi="Times New Roman" w:cs="Times New Roman"/>
          <w:color w:val="000000"/>
          <w:sz w:val="28"/>
          <w:szCs w:val="28"/>
        </w:rPr>
      </w:pPr>
      <w:r>
        <w:rPr>
          <w:rFonts w:ascii="Times New Roman" w:eastAsia="標楷體" w:hAnsi="Times New Roman" w:cs="Times New Roman" w:hint="eastAsia"/>
          <w:color w:val="000000"/>
          <w:sz w:val="28"/>
          <w:szCs w:val="28"/>
        </w:rPr>
        <w:t>持續精進技術評估與價值審議之制度分工，使其更符合國際</w:t>
      </w:r>
      <w:r>
        <w:rPr>
          <w:rFonts w:ascii="Times New Roman" w:eastAsia="標楷體" w:hAnsi="Times New Roman" w:cs="Times New Roman" w:hint="eastAsia"/>
          <w:color w:val="000000"/>
          <w:sz w:val="28"/>
          <w:szCs w:val="28"/>
        </w:rPr>
        <w:t>HTA</w:t>
      </w:r>
      <w:r>
        <w:rPr>
          <w:rFonts w:ascii="Times New Roman" w:eastAsia="標楷體" w:hAnsi="Times New Roman" w:cs="Times New Roman" w:hint="eastAsia"/>
          <w:color w:val="000000"/>
          <w:sz w:val="28"/>
          <w:szCs w:val="28"/>
        </w:rPr>
        <w:t>治理架構，提升整體公信力。</w:t>
      </w:r>
    </w:p>
    <w:p w14:paraId="2DBBD4C9" w14:textId="21E6425B" w:rsidR="00090CCF" w:rsidRPr="00090CCF" w:rsidRDefault="00090CCF" w:rsidP="00090CCF">
      <w:pPr>
        <w:spacing w:line="440" w:lineRule="exact"/>
        <w:jc w:val="both"/>
        <w:rPr>
          <w:rFonts w:ascii="Times New Roman" w:eastAsia="標楷體" w:hAnsi="Times New Roman" w:cs="Times New Roman" w:hint="eastAsia"/>
          <w:color w:val="000000"/>
          <w:sz w:val="28"/>
          <w:szCs w:val="28"/>
        </w:rPr>
      </w:pPr>
      <w:r>
        <w:rPr>
          <w:rFonts w:ascii="Times New Roman" w:eastAsia="標楷體" w:hAnsi="Times New Roman" w:cs="Times New Roman" w:hint="eastAsia"/>
          <w:color w:val="000000"/>
          <w:sz w:val="28"/>
          <w:szCs w:val="28"/>
        </w:rPr>
        <w:t>整體而言，</w:t>
      </w:r>
      <w:r w:rsidRPr="00090CCF">
        <w:rPr>
          <w:rFonts w:ascii="Times New Roman" w:eastAsia="標楷體" w:hAnsi="Times New Roman" w:cs="Times New Roman" w:hint="eastAsia"/>
          <w:color w:val="000000"/>
          <w:sz w:val="28"/>
          <w:szCs w:val="28"/>
        </w:rPr>
        <w:t>我國現行</w:t>
      </w:r>
      <w:r w:rsidRPr="00090CCF">
        <w:rPr>
          <w:rFonts w:ascii="Times New Roman" w:eastAsia="標楷體" w:hAnsi="Times New Roman" w:cs="Times New Roman" w:hint="eastAsia"/>
          <w:color w:val="000000"/>
          <w:sz w:val="28"/>
          <w:szCs w:val="28"/>
        </w:rPr>
        <w:t>HTA</w:t>
      </w:r>
      <w:r w:rsidRPr="00090CCF">
        <w:rPr>
          <w:rFonts w:ascii="Times New Roman" w:eastAsia="標楷體" w:hAnsi="Times New Roman" w:cs="Times New Roman" w:hint="eastAsia"/>
          <w:color w:val="000000"/>
          <w:sz w:val="28"/>
          <w:szCs w:val="28"/>
        </w:rPr>
        <w:t>制度已具備「專業評估（</w:t>
      </w:r>
      <w:r w:rsidRPr="00090CCF">
        <w:rPr>
          <w:rFonts w:ascii="Times New Roman" w:eastAsia="標楷體" w:hAnsi="Times New Roman" w:cs="Times New Roman" w:hint="eastAsia"/>
          <w:color w:val="000000"/>
          <w:sz w:val="28"/>
          <w:szCs w:val="28"/>
        </w:rPr>
        <w:t>HTA</w:t>
      </w:r>
      <w:r w:rsidRPr="00090CCF">
        <w:rPr>
          <w:rFonts w:ascii="Times New Roman" w:eastAsia="標楷體" w:hAnsi="Times New Roman" w:cs="Times New Roman" w:hint="eastAsia"/>
          <w:color w:val="000000"/>
          <w:sz w:val="28"/>
          <w:szCs w:val="28"/>
        </w:rPr>
        <w:t>）</w:t>
      </w:r>
      <w:r>
        <w:rPr>
          <w:rFonts w:ascii="Times New Roman" w:eastAsia="標楷體" w:hAnsi="Times New Roman" w:cs="Times New Roman" w:hint="eastAsia"/>
          <w:color w:val="000000"/>
          <w:sz w:val="28"/>
          <w:szCs w:val="28"/>
        </w:rPr>
        <w:t>→</w:t>
      </w:r>
      <w:r w:rsidRPr="00090CCF">
        <w:rPr>
          <w:rFonts w:ascii="Times New Roman" w:eastAsia="標楷體" w:hAnsi="Times New Roman" w:cs="Times New Roman" w:hint="eastAsia"/>
          <w:color w:val="000000"/>
          <w:sz w:val="28"/>
          <w:szCs w:val="28"/>
        </w:rPr>
        <w:t>專家討論</w:t>
      </w:r>
      <w:r>
        <w:rPr>
          <w:rFonts w:ascii="Times New Roman" w:eastAsia="標楷體" w:hAnsi="Times New Roman" w:cs="Times New Roman" w:hint="eastAsia"/>
          <w:color w:val="000000"/>
          <w:sz w:val="28"/>
          <w:szCs w:val="28"/>
        </w:rPr>
        <w:t>→</w:t>
      </w:r>
      <w:r w:rsidRPr="00090CCF">
        <w:rPr>
          <w:rFonts w:ascii="Times New Roman" w:eastAsia="標楷體" w:hAnsi="Times New Roman" w:cs="Times New Roman" w:hint="eastAsia"/>
          <w:color w:val="000000"/>
          <w:sz w:val="28"/>
          <w:szCs w:val="28"/>
        </w:rPr>
        <w:t>共擬決策</w:t>
      </w:r>
      <w:r>
        <w:rPr>
          <w:rFonts w:ascii="Times New Roman" w:eastAsia="標楷體" w:hAnsi="Times New Roman" w:cs="Times New Roman" w:hint="eastAsia"/>
          <w:color w:val="000000"/>
          <w:sz w:val="28"/>
          <w:szCs w:val="28"/>
        </w:rPr>
        <w:t>→</w:t>
      </w:r>
      <w:r w:rsidRPr="00090CCF">
        <w:rPr>
          <w:rFonts w:ascii="Times New Roman" w:eastAsia="標楷體" w:hAnsi="Times New Roman" w:cs="Times New Roman" w:hint="eastAsia"/>
          <w:color w:val="000000"/>
          <w:sz w:val="28"/>
          <w:szCs w:val="28"/>
        </w:rPr>
        <w:t>最終審議」之分層架構，實質落實</w:t>
      </w:r>
      <w:r>
        <w:rPr>
          <w:rFonts w:ascii="Times New Roman" w:eastAsia="標楷體" w:hAnsi="Times New Roman" w:cs="Times New Roman" w:hint="eastAsia"/>
          <w:color w:val="000000"/>
          <w:sz w:val="28"/>
          <w:szCs w:val="28"/>
        </w:rPr>
        <w:t>「</w:t>
      </w:r>
      <w:r>
        <w:rPr>
          <w:rFonts w:ascii="Times New Roman" w:eastAsia="標楷體" w:hAnsi="Times New Roman" w:cs="Times New Roman" w:hint="eastAsia"/>
          <w:color w:val="000000"/>
          <w:sz w:val="28"/>
          <w:szCs w:val="28"/>
        </w:rPr>
        <w:t>技術評估</w:t>
      </w:r>
      <w:r>
        <w:rPr>
          <w:rFonts w:ascii="Times New Roman" w:eastAsia="標楷體" w:hAnsi="Times New Roman" w:cs="Times New Roman" w:hint="eastAsia"/>
          <w:color w:val="000000"/>
          <w:sz w:val="28"/>
          <w:szCs w:val="28"/>
        </w:rPr>
        <w:t>」</w:t>
      </w:r>
      <w:r w:rsidRPr="00090CCF">
        <w:rPr>
          <w:rFonts w:ascii="Times New Roman" w:eastAsia="標楷體" w:hAnsi="Times New Roman" w:cs="Times New Roman" w:hint="eastAsia"/>
          <w:color w:val="000000"/>
          <w:sz w:val="28"/>
          <w:szCs w:val="28"/>
        </w:rPr>
        <w:t>與</w:t>
      </w:r>
      <w:r>
        <w:rPr>
          <w:rFonts w:ascii="Times New Roman" w:eastAsia="標楷體" w:hAnsi="Times New Roman" w:cs="Times New Roman" w:hint="eastAsia"/>
          <w:color w:val="000000"/>
          <w:sz w:val="28"/>
          <w:szCs w:val="28"/>
        </w:rPr>
        <w:t>「</w:t>
      </w:r>
      <w:r>
        <w:rPr>
          <w:rFonts w:ascii="Times New Roman" w:eastAsia="標楷體" w:hAnsi="Times New Roman" w:cs="Times New Roman" w:hint="eastAsia"/>
          <w:color w:val="000000"/>
          <w:sz w:val="28"/>
          <w:szCs w:val="28"/>
        </w:rPr>
        <w:t>價值審議</w:t>
      </w:r>
      <w:r>
        <w:rPr>
          <w:rFonts w:ascii="Times New Roman" w:eastAsia="標楷體" w:hAnsi="Times New Roman" w:cs="Times New Roman" w:hint="eastAsia"/>
          <w:color w:val="000000"/>
          <w:sz w:val="28"/>
          <w:szCs w:val="28"/>
        </w:rPr>
        <w:t>」</w:t>
      </w:r>
      <w:r w:rsidRPr="00090CCF">
        <w:rPr>
          <w:rFonts w:ascii="Times New Roman" w:eastAsia="標楷體" w:hAnsi="Times New Roman" w:cs="Times New Roman" w:hint="eastAsia"/>
          <w:color w:val="000000"/>
          <w:sz w:val="28"/>
          <w:szCs w:val="28"/>
        </w:rPr>
        <w:t>之分工，並透過報告公開與多方參與機制，持續強化決策之透明性與信任度。</w:t>
      </w:r>
    </w:p>
    <w:p w14:paraId="520DCE59" w14:textId="77777777" w:rsidR="00237297" w:rsidRDefault="00237297" w:rsidP="00180B50">
      <w:pPr>
        <w:spacing w:line="440" w:lineRule="exact"/>
        <w:jc w:val="both"/>
        <w:rPr>
          <w:rFonts w:ascii="Times New Roman" w:eastAsia="標楷體" w:hAnsi="Times New Roman" w:cs="Times New Roman"/>
          <w:color w:val="000000"/>
          <w:sz w:val="28"/>
          <w:szCs w:val="28"/>
          <w:shd w:val="pct15" w:color="auto" w:fill="FFFFFF"/>
        </w:rPr>
      </w:pPr>
    </w:p>
    <w:p w14:paraId="3B9D96A9" w14:textId="670BFDA0" w:rsidR="00DE651E" w:rsidRDefault="00DE651E" w:rsidP="00180B50">
      <w:pPr>
        <w:spacing w:line="440" w:lineRule="exact"/>
        <w:jc w:val="both"/>
        <w:rPr>
          <w:rFonts w:ascii="Times New Roman" w:eastAsia="標楷體" w:hAnsi="Times New Roman" w:cs="Times New Roman"/>
          <w:color w:val="000000"/>
          <w:sz w:val="28"/>
          <w:szCs w:val="28"/>
          <w:shd w:val="pct15" w:color="auto" w:fill="FFFFFF"/>
        </w:rPr>
      </w:pPr>
      <w:proofErr w:type="gramStart"/>
      <w:r w:rsidRPr="00DE651E">
        <w:rPr>
          <w:rFonts w:ascii="Times New Roman" w:eastAsia="標楷體" w:hAnsi="Times New Roman" w:cs="Times New Roman" w:hint="eastAsia"/>
          <w:color w:val="000000"/>
          <w:sz w:val="28"/>
          <w:szCs w:val="28"/>
          <w:shd w:val="pct15" w:color="auto" w:fill="FFFFFF"/>
        </w:rPr>
        <w:t>本署說明</w:t>
      </w:r>
      <w:proofErr w:type="gramEnd"/>
      <w:r w:rsidRPr="00DE651E">
        <w:rPr>
          <w:rFonts w:ascii="Times New Roman" w:eastAsia="標楷體" w:hAnsi="Times New Roman" w:cs="Times New Roman" w:hint="eastAsia"/>
          <w:color w:val="000000"/>
          <w:sz w:val="28"/>
          <w:szCs w:val="28"/>
          <w:shd w:val="pct15" w:color="auto" w:fill="FFFFFF"/>
        </w:rPr>
        <w:t>2</w:t>
      </w:r>
      <w:r w:rsidRPr="00DE651E">
        <w:rPr>
          <w:rFonts w:ascii="Times New Roman" w:eastAsia="標楷體" w:hAnsi="Times New Roman" w:cs="Times New Roman" w:hint="eastAsia"/>
          <w:color w:val="000000"/>
          <w:sz w:val="28"/>
          <w:szCs w:val="28"/>
          <w:shd w:val="pct15" w:color="auto" w:fill="FFFFFF"/>
        </w:rPr>
        <w:t>：</w:t>
      </w:r>
    </w:p>
    <w:p w14:paraId="590133AE" w14:textId="3E4D100E" w:rsidR="00C74882" w:rsidRDefault="00237297" w:rsidP="006D2A51">
      <w:pPr>
        <w:spacing w:line="440" w:lineRule="exact"/>
        <w:jc w:val="both"/>
        <w:rPr>
          <w:rFonts w:ascii="Times New Roman" w:eastAsia="標楷體" w:hAnsi="Times New Roman" w:cs="Times New Roman"/>
          <w:color w:val="000000"/>
          <w:sz w:val="28"/>
          <w:szCs w:val="28"/>
        </w:rPr>
      </w:pPr>
      <w:r w:rsidRPr="00237297">
        <w:rPr>
          <w:rFonts w:ascii="Times New Roman" w:eastAsia="標楷體" w:hAnsi="Times New Roman" w:cs="Times New Roman" w:hint="eastAsia"/>
          <w:color w:val="000000"/>
          <w:sz w:val="28"/>
          <w:szCs w:val="28"/>
        </w:rPr>
        <w:t>針對健保署、產業及病人等主要利害關係人，我國現行</w:t>
      </w:r>
      <w:r w:rsidRPr="00237297">
        <w:rPr>
          <w:rFonts w:ascii="Times New Roman" w:eastAsia="標楷體" w:hAnsi="Times New Roman" w:cs="Times New Roman" w:hint="eastAsia"/>
          <w:color w:val="000000"/>
          <w:sz w:val="28"/>
          <w:szCs w:val="28"/>
        </w:rPr>
        <w:t>HTA</w:t>
      </w:r>
      <w:r w:rsidRPr="00237297">
        <w:rPr>
          <w:rFonts w:ascii="Times New Roman" w:eastAsia="標楷體" w:hAnsi="Times New Roman" w:cs="Times New Roman" w:hint="eastAsia"/>
          <w:color w:val="000000"/>
          <w:sz w:val="28"/>
          <w:szCs w:val="28"/>
        </w:rPr>
        <w:t>制度已建立多層次之角色分工與利益迴避機制，並進一步於未來行政法人架構中強化治理層級之規範，說明如下：</w:t>
      </w:r>
    </w:p>
    <w:p w14:paraId="651E43D0" w14:textId="143E1F70" w:rsidR="00237297" w:rsidRDefault="00237297" w:rsidP="00237297">
      <w:pPr>
        <w:pStyle w:val="a3"/>
        <w:numPr>
          <w:ilvl w:val="0"/>
          <w:numId w:val="41"/>
        </w:numPr>
        <w:spacing w:line="440" w:lineRule="exact"/>
        <w:ind w:leftChars="0"/>
        <w:jc w:val="both"/>
        <w:rPr>
          <w:rFonts w:ascii="Times New Roman" w:eastAsia="標楷體" w:hAnsi="Times New Roman" w:cs="Times New Roman"/>
          <w:color w:val="000000"/>
          <w:sz w:val="28"/>
          <w:szCs w:val="28"/>
        </w:rPr>
      </w:pPr>
      <w:r>
        <w:rPr>
          <w:rFonts w:ascii="Times New Roman" w:eastAsia="標楷體" w:hAnsi="Times New Roman" w:cs="Times New Roman" w:hint="eastAsia"/>
          <w:color w:val="000000"/>
          <w:sz w:val="28"/>
          <w:szCs w:val="28"/>
        </w:rPr>
        <w:t>利害關係人角色分工</w:t>
      </w:r>
    </w:p>
    <w:p w14:paraId="2C33DC3A" w14:textId="5EDE64DF" w:rsidR="00237297" w:rsidRDefault="00237297" w:rsidP="00237297">
      <w:pPr>
        <w:pStyle w:val="a3"/>
        <w:numPr>
          <w:ilvl w:val="0"/>
          <w:numId w:val="42"/>
        </w:numPr>
        <w:spacing w:line="440" w:lineRule="exact"/>
        <w:ind w:leftChars="0"/>
        <w:jc w:val="both"/>
        <w:rPr>
          <w:rFonts w:ascii="Times New Roman" w:eastAsia="標楷體" w:hAnsi="Times New Roman" w:cs="Times New Roman"/>
          <w:color w:val="000000"/>
          <w:sz w:val="28"/>
          <w:szCs w:val="28"/>
        </w:rPr>
      </w:pPr>
      <w:r>
        <w:rPr>
          <w:rFonts w:ascii="Times New Roman" w:eastAsia="標楷體" w:hAnsi="Times New Roman" w:cs="Times New Roman" w:hint="eastAsia"/>
          <w:color w:val="000000"/>
          <w:sz w:val="28"/>
          <w:szCs w:val="28"/>
        </w:rPr>
        <w:t>HTA</w:t>
      </w:r>
      <w:r>
        <w:rPr>
          <w:rFonts w:ascii="Times New Roman" w:eastAsia="標楷體" w:hAnsi="Times New Roman" w:cs="Times New Roman" w:hint="eastAsia"/>
          <w:color w:val="000000"/>
          <w:sz w:val="28"/>
          <w:szCs w:val="28"/>
        </w:rPr>
        <w:t>評估單位（現為</w:t>
      </w:r>
      <w:r>
        <w:rPr>
          <w:rFonts w:ascii="Times New Roman" w:eastAsia="標楷體" w:hAnsi="Times New Roman" w:cs="Times New Roman" w:hint="eastAsia"/>
          <w:color w:val="000000"/>
          <w:sz w:val="28"/>
          <w:szCs w:val="28"/>
        </w:rPr>
        <w:t>CDE HTA</w:t>
      </w:r>
      <w:r>
        <w:rPr>
          <w:rFonts w:ascii="Times New Roman" w:eastAsia="標楷體" w:hAnsi="Times New Roman" w:cs="Times New Roman" w:hint="eastAsia"/>
          <w:color w:val="000000"/>
          <w:sz w:val="28"/>
          <w:szCs w:val="28"/>
        </w:rPr>
        <w:t>團隊）：負責科學證據評估，提供客觀且公開之評估報告。</w:t>
      </w:r>
    </w:p>
    <w:p w14:paraId="2669FC7C" w14:textId="3F54C70B" w:rsidR="00237297" w:rsidRDefault="00237297" w:rsidP="00237297">
      <w:pPr>
        <w:pStyle w:val="a3"/>
        <w:numPr>
          <w:ilvl w:val="0"/>
          <w:numId w:val="42"/>
        </w:numPr>
        <w:spacing w:line="440" w:lineRule="exact"/>
        <w:ind w:leftChars="0"/>
        <w:jc w:val="both"/>
        <w:rPr>
          <w:rFonts w:ascii="Times New Roman" w:eastAsia="標楷體" w:hAnsi="Times New Roman" w:cs="Times New Roman"/>
          <w:color w:val="000000"/>
          <w:sz w:val="28"/>
          <w:szCs w:val="28"/>
        </w:rPr>
      </w:pPr>
      <w:r>
        <w:rPr>
          <w:rFonts w:ascii="Times New Roman" w:eastAsia="標楷體" w:hAnsi="Times New Roman" w:cs="Times New Roman" w:hint="eastAsia"/>
          <w:color w:val="000000"/>
          <w:sz w:val="28"/>
          <w:szCs w:val="28"/>
        </w:rPr>
        <w:t>專家諮詢會議／共擬會議：依據</w:t>
      </w:r>
      <w:r>
        <w:rPr>
          <w:rFonts w:ascii="Times New Roman" w:eastAsia="標楷體" w:hAnsi="Times New Roman" w:cs="Times New Roman" w:hint="eastAsia"/>
          <w:color w:val="000000"/>
          <w:sz w:val="28"/>
          <w:szCs w:val="28"/>
        </w:rPr>
        <w:t>HTA</w:t>
      </w:r>
      <w:r>
        <w:rPr>
          <w:rFonts w:ascii="Times New Roman" w:eastAsia="標楷體" w:hAnsi="Times New Roman" w:cs="Times New Roman" w:hint="eastAsia"/>
          <w:color w:val="000000"/>
          <w:sz w:val="28"/>
          <w:szCs w:val="28"/>
        </w:rPr>
        <w:t>報告進行專業討論，形成建議與共識。</w:t>
      </w:r>
    </w:p>
    <w:p w14:paraId="5F95679C" w14:textId="732650A7" w:rsidR="00237297" w:rsidRDefault="00237297" w:rsidP="00237297">
      <w:pPr>
        <w:pStyle w:val="a3"/>
        <w:numPr>
          <w:ilvl w:val="0"/>
          <w:numId w:val="42"/>
        </w:numPr>
        <w:spacing w:line="440" w:lineRule="exact"/>
        <w:ind w:leftChars="0"/>
        <w:jc w:val="both"/>
        <w:rPr>
          <w:rFonts w:ascii="Times New Roman" w:eastAsia="標楷體" w:hAnsi="Times New Roman" w:cs="Times New Roman"/>
          <w:color w:val="000000"/>
          <w:sz w:val="28"/>
          <w:szCs w:val="28"/>
        </w:rPr>
      </w:pPr>
      <w:r>
        <w:rPr>
          <w:rFonts w:ascii="Times New Roman" w:eastAsia="標楷體" w:hAnsi="Times New Roman" w:cs="Times New Roman" w:hint="eastAsia"/>
          <w:color w:val="000000"/>
          <w:sz w:val="28"/>
          <w:szCs w:val="28"/>
        </w:rPr>
        <w:t>健保署（決策機關）：綜合政策與財務考量進行最終給付決策</w:t>
      </w:r>
    </w:p>
    <w:p w14:paraId="7AEE0A09" w14:textId="0D407C3A" w:rsidR="00237297" w:rsidRPr="00237297" w:rsidRDefault="00237297" w:rsidP="00237297">
      <w:pPr>
        <w:pStyle w:val="a3"/>
        <w:numPr>
          <w:ilvl w:val="0"/>
          <w:numId w:val="42"/>
        </w:numPr>
        <w:spacing w:line="440" w:lineRule="exact"/>
        <w:ind w:leftChars="0"/>
        <w:jc w:val="both"/>
        <w:rPr>
          <w:rFonts w:ascii="Times New Roman" w:eastAsia="標楷體" w:hAnsi="Times New Roman" w:cs="Times New Roman" w:hint="eastAsia"/>
          <w:color w:val="000000"/>
          <w:sz w:val="28"/>
          <w:szCs w:val="28"/>
        </w:rPr>
      </w:pPr>
      <w:r>
        <w:rPr>
          <w:rFonts w:ascii="Times New Roman" w:eastAsia="標楷體" w:hAnsi="Times New Roman" w:cs="Times New Roman" w:hint="eastAsia"/>
          <w:color w:val="000000"/>
          <w:sz w:val="28"/>
          <w:szCs w:val="28"/>
        </w:rPr>
        <w:t>產業與病人：提供療效證據與使用者觀點，參與程序但不介入評估與決策。</w:t>
      </w:r>
    </w:p>
    <w:p w14:paraId="1FB0B129" w14:textId="1A6181CB" w:rsidR="00237297" w:rsidRDefault="00237297" w:rsidP="00237297">
      <w:pPr>
        <w:pStyle w:val="a3"/>
        <w:numPr>
          <w:ilvl w:val="0"/>
          <w:numId w:val="41"/>
        </w:numPr>
        <w:spacing w:line="440" w:lineRule="exact"/>
        <w:ind w:leftChars="0"/>
        <w:jc w:val="both"/>
        <w:rPr>
          <w:rFonts w:ascii="Times New Roman" w:eastAsia="標楷體" w:hAnsi="Times New Roman" w:cs="Times New Roman"/>
          <w:color w:val="000000"/>
          <w:sz w:val="28"/>
          <w:szCs w:val="28"/>
        </w:rPr>
      </w:pPr>
      <w:r>
        <w:rPr>
          <w:rFonts w:ascii="Times New Roman" w:eastAsia="標楷體" w:hAnsi="Times New Roman" w:cs="Times New Roman" w:hint="eastAsia"/>
          <w:color w:val="000000"/>
          <w:sz w:val="28"/>
          <w:szCs w:val="28"/>
        </w:rPr>
        <w:t>現行利益迴避機制</w:t>
      </w:r>
    </w:p>
    <w:p w14:paraId="2EE281EB" w14:textId="7C336725" w:rsidR="00237297" w:rsidRDefault="00237297" w:rsidP="00237297">
      <w:pPr>
        <w:pStyle w:val="a3"/>
        <w:numPr>
          <w:ilvl w:val="0"/>
          <w:numId w:val="43"/>
        </w:numPr>
        <w:spacing w:line="440" w:lineRule="exact"/>
        <w:ind w:leftChars="0"/>
        <w:jc w:val="both"/>
        <w:rPr>
          <w:rFonts w:ascii="Times New Roman" w:eastAsia="標楷體" w:hAnsi="Times New Roman" w:cs="Times New Roman"/>
          <w:color w:val="000000"/>
          <w:sz w:val="28"/>
          <w:szCs w:val="28"/>
        </w:rPr>
      </w:pPr>
      <w:r>
        <w:rPr>
          <w:rFonts w:ascii="Times New Roman" w:eastAsia="標楷體" w:hAnsi="Times New Roman" w:cs="Times New Roman" w:hint="eastAsia"/>
          <w:color w:val="000000"/>
          <w:sz w:val="28"/>
          <w:szCs w:val="28"/>
        </w:rPr>
        <w:t>利益揭露與資格：專家</w:t>
      </w:r>
      <w:r w:rsidRPr="00237297">
        <w:rPr>
          <w:rFonts w:ascii="Times New Roman" w:eastAsia="標楷體" w:hAnsi="Times New Roman" w:cs="Times New Roman" w:hint="eastAsia"/>
          <w:color w:val="000000"/>
          <w:sz w:val="28"/>
          <w:szCs w:val="28"/>
        </w:rPr>
        <w:t>須揭露是否涉及藥廠董事、顧問等角色，重大利益衝突者需退出會議或職務。</w:t>
      </w:r>
    </w:p>
    <w:p w14:paraId="021607D4" w14:textId="3B6613A9" w:rsidR="00237297" w:rsidRDefault="00237297" w:rsidP="00237297">
      <w:pPr>
        <w:pStyle w:val="a3"/>
        <w:numPr>
          <w:ilvl w:val="0"/>
          <w:numId w:val="43"/>
        </w:numPr>
        <w:spacing w:line="440" w:lineRule="exact"/>
        <w:ind w:leftChars="0"/>
        <w:jc w:val="both"/>
        <w:rPr>
          <w:rFonts w:ascii="Times New Roman" w:eastAsia="標楷體" w:hAnsi="Times New Roman" w:cs="Times New Roman"/>
          <w:color w:val="000000"/>
          <w:sz w:val="28"/>
          <w:szCs w:val="28"/>
        </w:rPr>
      </w:pPr>
      <w:r>
        <w:rPr>
          <w:rFonts w:ascii="Times New Roman" w:eastAsia="標楷體" w:hAnsi="Times New Roman" w:cs="Times New Roman" w:hint="eastAsia"/>
          <w:color w:val="000000"/>
          <w:sz w:val="28"/>
          <w:szCs w:val="28"/>
        </w:rPr>
        <w:t>逐案迴避制度：</w:t>
      </w:r>
      <w:r w:rsidRPr="00237297">
        <w:rPr>
          <w:rFonts w:ascii="Times New Roman" w:eastAsia="標楷體" w:hAnsi="Times New Roman" w:cs="Times New Roman" w:hint="eastAsia"/>
          <w:color w:val="000000"/>
          <w:sz w:val="28"/>
          <w:szCs w:val="28"/>
        </w:rPr>
        <w:t>每案會議均進行利益衝突勾選與判定，依行政程序法及實務情形決定是否迴避</w:t>
      </w:r>
      <w:r>
        <w:rPr>
          <w:rFonts w:ascii="Times New Roman" w:eastAsia="標楷體" w:hAnsi="Times New Roman" w:cs="Times New Roman" w:hint="eastAsia"/>
          <w:color w:val="000000"/>
          <w:sz w:val="28"/>
          <w:szCs w:val="28"/>
        </w:rPr>
        <w:t>。</w:t>
      </w:r>
    </w:p>
    <w:p w14:paraId="4E4CB94A" w14:textId="6007ED61" w:rsidR="00237297" w:rsidRDefault="00237297" w:rsidP="00237297">
      <w:pPr>
        <w:pStyle w:val="a3"/>
        <w:numPr>
          <w:ilvl w:val="0"/>
          <w:numId w:val="43"/>
        </w:numPr>
        <w:spacing w:line="440" w:lineRule="exact"/>
        <w:ind w:leftChars="0"/>
        <w:jc w:val="both"/>
        <w:rPr>
          <w:rFonts w:ascii="Times New Roman" w:eastAsia="標楷體" w:hAnsi="Times New Roman" w:cs="Times New Roman"/>
          <w:color w:val="000000"/>
          <w:sz w:val="28"/>
          <w:szCs w:val="28"/>
        </w:rPr>
      </w:pPr>
      <w:r>
        <w:rPr>
          <w:rFonts w:ascii="Times New Roman" w:eastAsia="標楷體" w:hAnsi="Times New Roman" w:cs="Times New Roman" w:hint="eastAsia"/>
          <w:color w:val="000000"/>
          <w:sz w:val="28"/>
          <w:szCs w:val="28"/>
        </w:rPr>
        <w:t>差異化迴避規範：臨床試驗主持人可參與討論但不得參與決議、高度利益關係者（如執行經濟評估）需完全迴避，而其他情形則依影響程度而定。</w:t>
      </w:r>
    </w:p>
    <w:p w14:paraId="19B5A81E" w14:textId="7A2FEDC8" w:rsidR="00237297" w:rsidRPr="00237297" w:rsidRDefault="00237297" w:rsidP="00237297">
      <w:pPr>
        <w:pStyle w:val="a3"/>
        <w:numPr>
          <w:ilvl w:val="0"/>
          <w:numId w:val="43"/>
        </w:numPr>
        <w:spacing w:line="440" w:lineRule="exact"/>
        <w:ind w:leftChars="0"/>
        <w:jc w:val="both"/>
        <w:rPr>
          <w:rFonts w:ascii="Times New Roman" w:eastAsia="標楷體" w:hAnsi="Times New Roman" w:cs="Times New Roman" w:hint="eastAsia"/>
          <w:color w:val="000000"/>
          <w:sz w:val="28"/>
          <w:szCs w:val="28"/>
        </w:rPr>
      </w:pPr>
      <w:r>
        <w:rPr>
          <w:rFonts w:ascii="Times New Roman" w:eastAsia="標楷體" w:hAnsi="Times New Roman" w:cs="Times New Roman" w:hint="eastAsia"/>
          <w:color w:val="000000"/>
          <w:sz w:val="28"/>
          <w:szCs w:val="28"/>
        </w:rPr>
        <w:lastRenderedPageBreak/>
        <w:t>評估與決策分離：</w:t>
      </w:r>
      <w:r>
        <w:rPr>
          <w:rFonts w:ascii="Times New Roman" w:eastAsia="標楷體" w:hAnsi="Times New Roman" w:cs="Times New Roman" w:hint="eastAsia"/>
          <w:color w:val="000000"/>
          <w:sz w:val="28"/>
          <w:szCs w:val="28"/>
        </w:rPr>
        <w:t>HTA</w:t>
      </w:r>
      <w:r>
        <w:rPr>
          <w:rFonts w:ascii="Times New Roman" w:eastAsia="標楷體" w:hAnsi="Times New Roman" w:cs="Times New Roman" w:hint="eastAsia"/>
          <w:color w:val="000000"/>
          <w:sz w:val="28"/>
          <w:szCs w:val="28"/>
        </w:rPr>
        <w:t>單位與</w:t>
      </w:r>
      <w:r w:rsidRPr="00237297">
        <w:rPr>
          <w:rFonts w:ascii="Times New Roman" w:eastAsia="標楷體" w:hAnsi="Times New Roman" w:cs="Times New Roman" w:hint="eastAsia"/>
          <w:color w:val="000000"/>
          <w:sz w:val="28"/>
          <w:szCs w:val="28"/>
        </w:rPr>
        <w:t>健保決策機關分屬不同層級，有效降低制度性利益衝突</w:t>
      </w:r>
      <w:r>
        <w:rPr>
          <w:rFonts w:ascii="Times New Roman" w:eastAsia="標楷體" w:hAnsi="Times New Roman" w:cs="Times New Roman" w:hint="eastAsia"/>
          <w:color w:val="000000"/>
          <w:sz w:val="28"/>
          <w:szCs w:val="28"/>
        </w:rPr>
        <w:t>。</w:t>
      </w:r>
    </w:p>
    <w:p w14:paraId="553F4C9A" w14:textId="798DB1DB" w:rsidR="00237297" w:rsidRPr="00237297" w:rsidRDefault="00237297" w:rsidP="00237297">
      <w:pPr>
        <w:pStyle w:val="a3"/>
        <w:numPr>
          <w:ilvl w:val="0"/>
          <w:numId w:val="41"/>
        </w:numPr>
        <w:spacing w:line="440" w:lineRule="exact"/>
        <w:ind w:leftChars="0"/>
        <w:jc w:val="both"/>
        <w:rPr>
          <w:rFonts w:ascii="Times New Roman" w:eastAsia="標楷體" w:hAnsi="Times New Roman" w:cs="Times New Roman"/>
          <w:color w:val="000000"/>
          <w:sz w:val="28"/>
          <w:szCs w:val="28"/>
        </w:rPr>
      </w:pPr>
      <w:r>
        <w:rPr>
          <w:rFonts w:ascii="Times New Roman" w:eastAsia="標楷體" w:hAnsi="Times New Roman" w:cs="Times New Roman" w:hint="eastAsia"/>
          <w:color w:val="000000"/>
          <w:sz w:val="28"/>
          <w:szCs w:val="28"/>
        </w:rPr>
        <w:t>未來行政法人化之治理強化：</w:t>
      </w:r>
      <w:r w:rsidRPr="00237297">
        <w:rPr>
          <w:rFonts w:ascii="Times New Roman" w:eastAsia="標楷體" w:hAnsi="Times New Roman" w:cs="Times New Roman" w:hint="eastAsia"/>
          <w:color w:val="000000"/>
          <w:sz w:val="28"/>
          <w:szCs w:val="28"/>
        </w:rPr>
        <w:t>為進一步提升公信力，未來於「國家醫療科技評估中心」設置後，將導入更完整之治理與責任機制</w:t>
      </w:r>
      <w:r>
        <w:rPr>
          <w:rFonts w:ascii="Times New Roman" w:eastAsia="標楷體" w:hAnsi="Times New Roman" w:cs="Times New Roman" w:hint="eastAsia"/>
          <w:color w:val="000000"/>
          <w:sz w:val="28"/>
          <w:szCs w:val="28"/>
        </w:rPr>
        <w:t>。</w:t>
      </w:r>
    </w:p>
    <w:p w14:paraId="4D4A9CB6" w14:textId="751B8659" w:rsidR="00237297" w:rsidRDefault="00237297" w:rsidP="00237297">
      <w:pPr>
        <w:pStyle w:val="a3"/>
        <w:numPr>
          <w:ilvl w:val="0"/>
          <w:numId w:val="44"/>
        </w:numPr>
        <w:spacing w:line="440" w:lineRule="exact"/>
        <w:ind w:leftChars="0"/>
        <w:jc w:val="both"/>
        <w:rPr>
          <w:rFonts w:ascii="Times New Roman" w:eastAsia="標楷體" w:hAnsi="Times New Roman" w:cs="Times New Roman"/>
          <w:color w:val="000000"/>
          <w:sz w:val="28"/>
          <w:szCs w:val="28"/>
        </w:rPr>
      </w:pPr>
      <w:r w:rsidRPr="00237297">
        <w:rPr>
          <w:rFonts w:ascii="Times New Roman" w:eastAsia="標楷體" w:hAnsi="Times New Roman" w:cs="Times New Roman" w:hint="eastAsia"/>
          <w:color w:val="000000"/>
          <w:sz w:val="28"/>
          <w:szCs w:val="28"/>
        </w:rPr>
        <w:t>高階治理層（董事、監事、執行長）利益迴避制度</w:t>
      </w:r>
      <w:r>
        <w:rPr>
          <w:rFonts w:ascii="Times New Roman" w:eastAsia="標楷體" w:hAnsi="Times New Roman" w:cs="Times New Roman" w:hint="eastAsia"/>
          <w:color w:val="000000"/>
          <w:sz w:val="28"/>
          <w:szCs w:val="28"/>
        </w:rPr>
        <w:t>：</w:t>
      </w:r>
      <w:r w:rsidRPr="00237297">
        <w:rPr>
          <w:rFonts w:ascii="Times New Roman" w:eastAsia="標楷體" w:hAnsi="Times New Roman" w:cs="Times New Roman"/>
          <w:color w:val="000000"/>
          <w:sz w:val="28"/>
          <w:szCs w:val="28"/>
        </w:rPr>
        <w:t>明定須依《公職人員利益衝突迴避法》辦理，並</w:t>
      </w:r>
      <w:proofErr w:type="gramStart"/>
      <w:r w:rsidRPr="00237297">
        <w:rPr>
          <w:rFonts w:ascii="Times New Roman" w:eastAsia="標楷體" w:hAnsi="Times New Roman" w:cs="Times New Roman"/>
          <w:color w:val="000000"/>
          <w:sz w:val="28"/>
          <w:szCs w:val="28"/>
        </w:rPr>
        <w:t>採</w:t>
      </w:r>
      <w:proofErr w:type="gramEnd"/>
      <w:r w:rsidRPr="00485C81">
        <w:rPr>
          <w:rFonts w:ascii="Times New Roman" w:eastAsia="標楷體" w:hAnsi="Times New Roman" w:cs="Times New Roman"/>
          <w:color w:val="000000"/>
          <w:sz w:val="28"/>
          <w:szCs w:val="28"/>
        </w:rPr>
        <w:t>主動申報與自行迴避</w:t>
      </w:r>
      <w:r w:rsidRPr="00237297">
        <w:rPr>
          <w:rFonts w:ascii="Times New Roman" w:eastAsia="標楷體" w:hAnsi="Times New Roman" w:cs="Times New Roman"/>
          <w:color w:val="000000"/>
          <w:sz w:val="28"/>
          <w:szCs w:val="28"/>
        </w:rPr>
        <w:t>機制</w:t>
      </w:r>
      <w:r>
        <w:rPr>
          <w:rFonts w:ascii="Times New Roman" w:eastAsia="標楷體" w:hAnsi="Times New Roman" w:cs="Times New Roman" w:hint="eastAsia"/>
          <w:color w:val="000000"/>
          <w:sz w:val="28"/>
          <w:szCs w:val="28"/>
        </w:rPr>
        <w:t>。</w:t>
      </w:r>
    </w:p>
    <w:p w14:paraId="19B91C43" w14:textId="65C9102A" w:rsidR="00237297" w:rsidRPr="00237297" w:rsidRDefault="00237297" w:rsidP="00237297">
      <w:pPr>
        <w:pStyle w:val="a3"/>
        <w:numPr>
          <w:ilvl w:val="0"/>
          <w:numId w:val="44"/>
        </w:numPr>
        <w:spacing w:line="440" w:lineRule="exact"/>
        <w:ind w:leftChars="0"/>
        <w:jc w:val="both"/>
        <w:rPr>
          <w:rFonts w:ascii="Times New Roman" w:eastAsia="標楷體" w:hAnsi="Times New Roman" w:cs="Times New Roman" w:hint="eastAsia"/>
          <w:color w:val="000000"/>
          <w:sz w:val="28"/>
          <w:szCs w:val="28"/>
        </w:rPr>
      </w:pPr>
      <w:r>
        <w:rPr>
          <w:rFonts w:ascii="Times New Roman" w:eastAsia="標楷體" w:hAnsi="Times New Roman" w:cs="Times New Roman" w:hint="eastAsia"/>
          <w:color w:val="000000"/>
          <w:sz w:val="28"/>
          <w:szCs w:val="28"/>
        </w:rPr>
        <w:t>建立「揭露→迴避</w:t>
      </w:r>
      <w:r>
        <w:rPr>
          <w:rFonts w:ascii="Times New Roman" w:eastAsia="標楷體" w:hAnsi="Times New Roman" w:cs="Times New Roman" w:hint="eastAsia"/>
          <w:color w:val="000000"/>
          <w:sz w:val="28"/>
          <w:szCs w:val="28"/>
        </w:rPr>
        <w:t>→</w:t>
      </w:r>
      <w:r>
        <w:rPr>
          <w:rFonts w:ascii="Times New Roman" w:eastAsia="標楷體" w:hAnsi="Times New Roman" w:cs="Times New Roman" w:hint="eastAsia"/>
          <w:color w:val="000000"/>
          <w:sz w:val="28"/>
          <w:szCs w:val="28"/>
        </w:rPr>
        <w:t>監督</w:t>
      </w:r>
      <w:r>
        <w:rPr>
          <w:rFonts w:ascii="Times New Roman" w:eastAsia="標楷體" w:hAnsi="Times New Roman" w:cs="Times New Roman" w:hint="eastAsia"/>
          <w:color w:val="000000"/>
          <w:sz w:val="28"/>
          <w:szCs w:val="28"/>
        </w:rPr>
        <w:t>→</w:t>
      </w:r>
      <w:r>
        <w:rPr>
          <w:rFonts w:ascii="Times New Roman" w:eastAsia="標楷體" w:hAnsi="Times New Roman" w:cs="Times New Roman" w:hint="eastAsia"/>
          <w:color w:val="000000"/>
          <w:sz w:val="28"/>
          <w:szCs w:val="28"/>
        </w:rPr>
        <w:t>處分」完整機制，由「會議作業」提升至「組織治理」</w:t>
      </w:r>
    </w:p>
    <w:p w14:paraId="3B611752" w14:textId="181D3950" w:rsidR="00237297" w:rsidRPr="00237297" w:rsidRDefault="00237297" w:rsidP="00237297">
      <w:pPr>
        <w:spacing w:line="440" w:lineRule="exact"/>
        <w:jc w:val="both"/>
        <w:rPr>
          <w:rFonts w:ascii="Times New Roman" w:eastAsia="標楷體" w:hAnsi="Times New Roman" w:cs="Times New Roman" w:hint="eastAsia"/>
          <w:color w:val="000000"/>
          <w:sz w:val="28"/>
          <w:szCs w:val="28"/>
        </w:rPr>
      </w:pPr>
      <w:r w:rsidRPr="00237297">
        <w:rPr>
          <w:rFonts w:ascii="Times New Roman" w:eastAsia="標楷體" w:hAnsi="Times New Roman" w:cs="Times New Roman" w:hint="eastAsia"/>
          <w:color w:val="000000"/>
          <w:sz w:val="28"/>
          <w:szCs w:val="28"/>
        </w:rPr>
        <w:t>綜上，我國已建立</w:t>
      </w:r>
      <w:r w:rsidR="003D7449">
        <w:rPr>
          <w:rFonts w:ascii="Times New Roman" w:eastAsia="標楷體" w:hAnsi="Times New Roman" w:cs="Times New Roman" w:hint="eastAsia"/>
          <w:color w:val="000000"/>
          <w:sz w:val="28"/>
          <w:szCs w:val="28"/>
        </w:rPr>
        <w:t>明確</w:t>
      </w:r>
      <w:r w:rsidRPr="00237297">
        <w:rPr>
          <w:rFonts w:ascii="Times New Roman" w:eastAsia="標楷體" w:hAnsi="Times New Roman" w:cs="Times New Roman" w:hint="eastAsia"/>
          <w:color w:val="000000"/>
          <w:sz w:val="28"/>
          <w:szCs w:val="28"/>
        </w:rPr>
        <w:t>利益迴避與角色分工機制，</w:t>
      </w:r>
      <w:r w:rsidR="003D7449">
        <w:rPr>
          <w:rFonts w:ascii="Times New Roman" w:eastAsia="標楷體" w:hAnsi="Times New Roman" w:cs="Times New Roman" w:hint="eastAsia"/>
          <w:color w:val="000000"/>
          <w:sz w:val="28"/>
          <w:szCs w:val="28"/>
        </w:rPr>
        <w:t>未來可</w:t>
      </w:r>
      <w:r w:rsidRPr="00237297">
        <w:rPr>
          <w:rFonts w:ascii="Times New Roman" w:eastAsia="標楷體" w:hAnsi="Times New Roman" w:cs="Times New Roman" w:hint="eastAsia"/>
          <w:color w:val="000000"/>
          <w:sz w:val="28"/>
          <w:szCs w:val="28"/>
        </w:rPr>
        <w:t>透過行政法人制度進一步強化高階治理</w:t>
      </w:r>
      <w:proofErr w:type="gramStart"/>
      <w:r w:rsidRPr="00237297">
        <w:rPr>
          <w:rFonts w:ascii="Times New Roman" w:eastAsia="標楷體" w:hAnsi="Times New Roman" w:cs="Times New Roman" w:hint="eastAsia"/>
          <w:color w:val="000000"/>
          <w:sz w:val="28"/>
          <w:szCs w:val="28"/>
        </w:rPr>
        <w:t>與問責架構</w:t>
      </w:r>
      <w:proofErr w:type="gramEnd"/>
      <w:r w:rsidRPr="00237297">
        <w:rPr>
          <w:rFonts w:ascii="Times New Roman" w:eastAsia="標楷體" w:hAnsi="Times New Roman" w:cs="Times New Roman" w:hint="eastAsia"/>
          <w:color w:val="000000"/>
          <w:sz w:val="28"/>
          <w:szCs w:val="28"/>
        </w:rPr>
        <w:t>，可有效確保醫療科技評估與給付決策之客觀性、透明性與社會信任，並與國際</w:t>
      </w:r>
      <w:r w:rsidRPr="00237297">
        <w:rPr>
          <w:rFonts w:ascii="Times New Roman" w:eastAsia="標楷體" w:hAnsi="Times New Roman" w:cs="Times New Roman" w:hint="eastAsia"/>
          <w:color w:val="000000"/>
          <w:sz w:val="28"/>
          <w:szCs w:val="28"/>
        </w:rPr>
        <w:t>HTA</w:t>
      </w:r>
      <w:r w:rsidRPr="00237297">
        <w:rPr>
          <w:rFonts w:ascii="Times New Roman" w:eastAsia="標楷體" w:hAnsi="Times New Roman" w:cs="Times New Roman" w:hint="eastAsia"/>
          <w:color w:val="000000"/>
          <w:sz w:val="28"/>
          <w:szCs w:val="28"/>
        </w:rPr>
        <w:t>治理模式接軌</w:t>
      </w:r>
      <w:r w:rsidR="003D7449">
        <w:rPr>
          <w:rFonts w:ascii="Times New Roman" w:eastAsia="標楷體" w:hAnsi="Times New Roman" w:cs="Times New Roman" w:hint="eastAsia"/>
          <w:color w:val="000000"/>
          <w:sz w:val="28"/>
          <w:szCs w:val="28"/>
        </w:rPr>
        <w:t>。</w:t>
      </w:r>
    </w:p>
    <w:p w14:paraId="594399AC" w14:textId="611E2474" w:rsidR="006D5640" w:rsidRPr="00DE651E" w:rsidRDefault="001A6E27" w:rsidP="00180B50">
      <w:pPr>
        <w:spacing w:line="440" w:lineRule="exact"/>
        <w:jc w:val="both"/>
        <w:rPr>
          <w:rFonts w:ascii="Times New Roman" w:eastAsia="標楷體" w:hAnsi="Times New Roman" w:cs="Times New Roman"/>
          <w:color w:val="000000"/>
          <w:sz w:val="28"/>
          <w:szCs w:val="28"/>
        </w:rPr>
      </w:pPr>
      <w:r w:rsidRPr="00180B50">
        <w:rPr>
          <w:rFonts w:ascii="Times New Roman" w:eastAsia="標楷體" w:hAnsi="Times New Roman" w:cs="Times New Roman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7C19CBF8" wp14:editId="4AE9FCA1">
                <wp:simplePos x="0" y="0"/>
                <wp:positionH relativeFrom="margin">
                  <wp:posOffset>-57150</wp:posOffset>
                </wp:positionH>
                <wp:positionV relativeFrom="paragraph">
                  <wp:posOffset>356235</wp:posOffset>
                </wp:positionV>
                <wp:extent cx="5734050" cy="1404620"/>
                <wp:effectExtent l="0" t="0" r="19050" b="26670"/>
                <wp:wrapSquare wrapText="bothSides"/>
                <wp:docPr id="1" name="文字方塊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340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BADC2C" w14:textId="284CE217" w:rsidR="00BA5F85" w:rsidRDefault="00BA5F85" w:rsidP="00BA5F85">
                            <w:pPr>
                              <w:pStyle w:val="a3"/>
                              <w:numPr>
                                <w:ilvl w:val="0"/>
                                <w:numId w:val="2"/>
                              </w:numPr>
                              <w:spacing w:line="440" w:lineRule="exact"/>
                              <w:ind w:leftChars="0" w:left="567" w:hanging="567"/>
                              <w:jc w:val="both"/>
                              <w:rPr>
                                <w:rFonts w:ascii="Times New Roman" w:eastAsia="標楷體" w:hAnsi="Times New Roman" w:cs="Times New Roman"/>
                                <w:color w:val="00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eastAsia="標楷體" w:hAnsi="Times New Roman" w:cs="Times New Roman" w:hint="eastAsia"/>
                                <w:color w:val="000000"/>
                                <w:sz w:val="28"/>
                                <w:szCs w:val="28"/>
                              </w:rPr>
                              <w:t>提升決策透明度：建構可溝通、可檢視的資訊</w:t>
                            </w:r>
                            <w:r w:rsidR="00DE121B">
                              <w:rPr>
                                <w:rFonts w:ascii="Times New Roman" w:eastAsia="標楷體" w:hAnsi="Times New Roman" w:cs="Times New Roman" w:hint="eastAsia"/>
                                <w:color w:val="000000"/>
                                <w:sz w:val="28"/>
                                <w:szCs w:val="28"/>
                              </w:rPr>
                              <w:t>揭</w:t>
                            </w:r>
                            <w:r>
                              <w:rPr>
                                <w:rFonts w:ascii="Times New Roman" w:eastAsia="標楷體" w:hAnsi="Times New Roman" w:cs="Times New Roman" w:hint="eastAsia"/>
                                <w:color w:val="000000"/>
                                <w:sz w:val="28"/>
                                <w:szCs w:val="28"/>
                              </w:rPr>
                              <w:t>露機制</w:t>
                            </w:r>
                          </w:p>
                          <w:p w14:paraId="159D4AF2" w14:textId="6C603FFC" w:rsidR="00BA5F85" w:rsidRDefault="00BA5F85" w:rsidP="0043364F">
                            <w:pPr>
                              <w:pStyle w:val="a3"/>
                              <w:numPr>
                                <w:ilvl w:val="0"/>
                                <w:numId w:val="23"/>
                              </w:numPr>
                              <w:spacing w:line="440" w:lineRule="exact"/>
                              <w:ind w:leftChars="0"/>
                              <w:jc w:val="both"/>
                              <w:rPr>
                                <w:rFonts w:ascii="Times New Roman" w:eastAsia="標楷體" w:hAnsi="Times New Roman" w:cs="Times New Roman"/>
                                <w:color w:val="00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eastAsia="標楷體" w:hAnsi="Times New Roman" w:cs="Times New Roman" w:hint="eastAsia"/>
                                <w:color w:val="000000"/>
                                <w:sz w:val="28"/>
                                <w:szCs w:val="28"/>
                              </w:rPr>
                              <w:t>如何強化</w:t>
                            </w:r>
                            <w:r>
                              <w:rPr>
                                <w:rFonts w:ascii="Times New Roman" w:eastAsia="標楷體" w:hAnsi="Times New Roman" w:cs="Times New Roman" w:hint="eastAsia"/>
                                <w:color w:val="000000"/>
                                <w:sz w:val="28"/>
                                <w:szCs w:val="28"/>
                              </w:rPr>
                              <w:t>HTA</w:t>
                            </w:r>
                            <w:r>
                              <w:rPr>
                                <w:rFonts w:ascii="Times New Roman" w:eastAsia="標楷體" w:hAnsi="Times New Roman" w:cs="Times New Roman" w:hint="eastAsia"/>
                                <w:color w:val="000000"/>
                                <w:sz w:val="28"/>
                                <w:szCs w:val="28"/>
                              </w:rPr>
                              <w:t>過程中的資訊揭露（評估依據、討論過程及決策理由），以提升外界對決策的理解與信任？</w:t>
                            </w:r>
                          </w:p>
                          <w:p w14:paraId="318B7B74" w14:textId="345CDB08" w:rsidR="00BA5F85" w:rsidRPr="00BA5F85" w:rsidRDefault="00BA5F85" w:rsidP="0043364F">
                            <w:pPr>
                              <w:pStyle w:val="a3"/>
                              <w:numPr>
                                <w:ilvl w:val="0"/>
                                <w:numId w:val="23"/>
                              </w:numPr>
                              <w:spacing w:line="440" w:lineRule="exact"/>
                              <w:ind w:leftChars="0"/>
                              <w:jc w:val="both"/>
                              <w:rPr>
                                <w:rFonts w:ascii="Times New Roman" w:eastAsia="標楷體" w:hAnsi="Times New Roman" w:cs="Times New Roman"/>
                                <w:color w:val="00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eastAsia="標楷體" w:hAnsi="Times New Roman" w:cs="Times New Roman" w:hint="eastAsia"/>
                                <w:color w:val="000000"/>
                                <w:sz w:val="28"/>
                                <w:szCs w:val="28"/>
                              </w:rPr>
                              <w:t>建立透明的利害關係人意見回饋與回應機制（如公開諮詢或書面回覆），讓不同觀點能被真實且充分納入並被檢視？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C19CBF8" id="文字方塊 1" o:spid="_x0000_s1027" type="#_x0000_t202" style="position:absolute;left:0;text-align:left;margin-left:-4.5pt;margin-top:28.05pt;width:451.5pt;height:110.6pt;z-index:251665408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">
                <v:textbox style="mso-fit-shape-to-text:t">
                  <w:txbxContent>
                    <w:p w14:paraId="42BADC2C" w14:textId="284CE217" w:rsidR="00BA5F85" w:rsidRDefault="00BA5F85" w:rsidP="00BA5F85">
                      <w:pPr>
                        <w:pStyle w:val="a3"/>
                        <w:numPr>
                          <w:ilvl w:val="0"/>
                          <w:numId w:val="2"/>
                        </w:numPr>
                        <w:spacing w:line="440" w:lineRule="exact"/>
                        <w:ind w:leftChars="0" w:left="567" w:hanging="567"/>
                        <w:jc w:val="both"/>
                        <w:rPr>
                          <w:rFonts w:ascii="Times New Roman" w:eastAsia="標楷體" w:hAnsi="Times New Roman" w:cs="Times New Roman"/>
                          <w:color w:val="000000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eastAsia="標楷體" w:hAnsi="Times New Roman" w:cs="Times New Roman" w:hint="eastAsia"/>
                          <w:color w:val="000000"/>
                          <w:sz w:val="28"/>
                          <w:szCs w:val="28"/>
                        </w:rPr>
                        <w:t>提升決策透明度：建構可溝通、可檢視的資訊</w:t>
                      </w:r>
                      <w:r w:rsidR="00DE121B">
                        <w:rPr>
                          <w:rFonts w:ascii="Times New Roman" w:eastAsia="標楷體" w:hAnsi="Times New Roman" w:cs="Times New Roman" w:hint="eastAsia"/>
                          <w:color w:val="000000"/>
                          <w:sz w:val="28"/>
                          <w:szCs w:val="28"/>
                        </w:rPr>
                        <w:t>揭</w:t>
                      </w:r>
                      <w:r>
                        <w:rPr>
                          <w:rFonts w:ascii="Times New Roman" w:eastAsia="標楷體" w:hAnsi="Times New Roman" w:cs="Times New Roman" w:hint="eastAsia"/>
                          <w:color w:val="000000"/>
                          <w:sz w:val="28"/>
                          <w:szCs w:val="28"/>
                        </w:rPr>
                        <w:t>露機制</w:t>
                      </w:r>
                    </w:p>
                    <w:p w14:paraId="159D4AF2" w14:textId="6C603FFC" w:rsidR="00BA5F85" w:rsidRDefault="00BA5F85" w:rsidP="0043364F">
                      <w:pPr>
                        <w:pStyle w:val="a3"/>
                        <w:numPr>
                          <w:ilvl w:val="0"/>
                          <w:numId w:val="23"/>
                        </w:numPr>
                        <w:spacing w:line="440" w:lineRule="exact"/>
                        <w:ind w:leftChars="0"/>
                        <w:jc w:val="both"/>
                        <w:rPr>
                          <w:rFonts w:ascii="Times New Roman" w:eastAsia="標楷體" w:hAnsi="Times New Roman" w:cs="Times New Roman"/>
                          <w:color w:val="000000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eastAsia="標楷體" w:hAnsi="Times New Roman" w:cs="Times New Roman" w:hint="eastAsia"/>
                          <w:color w:val="000000"/>
                          <w:sz w:val="28"/>
                          <w:szCs w:val="28"/>
                        </w:rPr>
                        <w:t>如何強化</w:t>
                      </w:r>
                      <w:r>
                        <w:rPr>
                          <w:rFonts w:ascii="Times New Roman" w:eastAsia="標楷體" w:hAnsi="Times New Roman" w:cs="Times New Roman" w:hint="eastAsia"/>
                          <w:color w:val="000000"/>
                          <w:sz w:val="28"/>
                          <w:szCs w:val="28"/>
                        </w:rPr>
                        <w:t>HTA</w:t>
                      </w:r>
                      <w:r>
                        <w:rPr>
                          <w:rFonts w:ascii="Times New Roman" w:eastAsia="標楷體" w:hAnsi="Times New Roman" w:cs="Times New Roman" w:hint="eastAsia"/>
                          <w:color w:val="000000"/>
                          <w:sz w:val="28"/>
                          <w:szCs w:val="28"/>
                        </w:rPr>
                        <w:t>過程中的資訊揭露（評估依據、討論過程及決策理由），以提升外界對決策的理解與信任？</w:t>
                      </w:r>
                    </w:p>
                    <w:p w14:paraId="318B7B74" w14:textId="345CDB08" w:rsidR="00BA5F85" w:rsidRPr="00BA5F85" w:rsidRDefault="00BA5F85" w:rsidP="0043364F">
                      <w:pPr>
                        <w:pStyle w:val="a3"/>
                        <w:numPr>
                          <w:ilvl w:val="0"/>
                          <w:numId w:val="23"/>
                        </w:numPr>
                        <w:spacing w:line="440" w:lineRule="exact"/>
                        <w:ind w:leftChars="0"/>
                        <w:jc w:val="both"/>
                        <w:rPr>
                          <w:rFonts w:ascii="Times New Roman" w:eastAsia="標楷體" w:hAnsi="Times New Roman" w:cs="Times New Roman"/>
                          <w:color w:val="000000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eastAsia="標楷體" w:hAnsi="Times New Roman" w:cs="Times New Roman" w:hint="eastAsia"/>
                          <w:color w:val="000000"/>
                          <w:sz w:val="28"/>
                          <w:szCs w:val="28"/>
                        </w:rPr>
                        <w:t>建立透明的利害關係人意見回饋與回應機制（如公開諮詢或書面回覆），讓不同觀點能被真實且充分納入並被檢視？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5C6966FB" w14:textId="66A2E2DF" w:rsidR="001A6E27" w:rsidRPr="00180B50" w:rsidRDefault="001A6E27" w:rsidP="001A6E27">
      <w:pPr>
        <w:spacing w:line="440" w:lineRule="exact"/>
        <w:jc w:val="both"/>
        <w:rPr>
          <w:rFonts w:ascii="Times New Roman" w:eastAsia="標楷體" w:hAnsi="Times New Roman" w:cs="Times New Roman"/>
          <w:color w:val="000000"/>
          <w:sz w:val="28"/>
          <w:szCs w:val="28"/>
        </w:rPr>
      </w:pPr>
      <w:proofErr w:type="gramStart"/>
      <w:r>
        <w:rPr>
          <w:rFonts w:ascii="Times New Roman" w:eastAsia="標楷體" w:hAnsi="Times New Roman" w:cs="Times New Roman" w:hint="eastAsia"/>
          <w:color w:val="000000"/>
          <w:sz w:val="28"/>
          <w:szCs w:val="28"/>
          <w:shd w:val="pct15" w:color="auto" w:fill="FFFFFF"/>
        </w:rPr>
        <w:t>本署</w:t>
      </w:r>
      <w:r w:rsidRPr="00766A9C">
        <w:rPr>
          <w:rFonts w:ascii="Times New Roman" w:eastAsia="標楷體" w:hAnsi="Times New Roman" w:cs="Times New Roman" w:hint="eastAsia"/>
          <w:color w:val="000000"/>
          <w:sz w:val="28"/>
          <w:szCs w:val="28"/>
          <w:shd w:val="pct15" w:color="auto" w:fill="FFFFFF"/>
        </w:rPr>
        <w:t>說明</w:t>
      </w:r>
      <w:proofErr w:type="gramEnd"/>
      <w:r w:rsidR="00B83AD6">
        <w:rPr>
          <w:rFonts w:ascii="Times New Roman" w:eastAsia="標楷體" w:hAnsi="Times New Roman" w:cs="Times New Roman" w:hint="eastAsia"/>
          <w:color w:val="000000"/>
          <w:sz w:val="28"/>
          <w:szCs w:val="28"/>
          <w:shd w:val="pct15" w:color="auto" w:fill="FFFFFF"/>
        </w:rPr>
        <w:t>1</w:t>
      </w:r>
      <w:r w:rsidRPr="00766A9C">
        <w:rPr>
          <w:rFonts w:ascii="Times New Roman" w:eastAsia="標楷體" w:hAnsi="Times New Roman" w:cs="Times New Roman" w:hint="eastAsia"/>
          <w:color w:val="000000"/>
          <w:sz w:val="28"/>
          <w:szCs w:val="28"/>
          <w:shd w:val="pct15" w:color="auto" w:fill="FFFFFF"/>
        </w:rPr>
        <w:t>：</w:t>
      </w:r>
    </w:p>
    <w:p w14:paraId="52C9D8A6" w14:textId="58C7724E" w:rsidR="00BA5F85" w:rsidRDefault="00687A15" w:rsidP="00B83AD6">
      <w:pPr>
        <w:spacing w:line="440" w:lineRule="exact"/>
        <w:jc w:val="both"/>
        <w:rPr>
          <w:rFonts w:ascii="Times New Roman" w:eastAsia="標楷體" w:hAnsi="Times New Roman" w:cs="Times New Roman"/>
          <w:color w:val="000000"/>
          <w:sz w:val="28"/>
          <w:szCs w:val="28"/>
        </w:rPr>
      </w:pPr>
      <w:r>
        <w:rPr>
          <w:rFonts w:ascii="Times New Roman" w:eastAsia="標楷體" w:hAnsi="Times New Roman" w:cs="Times New Roman" w:hint="eastAsia"/>
          <w:color w:val="000000"/>
          <w:sz w:val="28"/>
          <w:szCs w:val="28"/>
        </w:rPr>
        <w:t>有關資訊揭露，</w:t>
      </w:r>
      <w:r w:rsidR="001C17AD">
        <w:rPr>
          <w:rFonts w:ascii="Times New Roman" w:eastAsia="標楷體" w:hAnsi="Times New Roman" w:cs="Times New Roman" w:hint="eastAsia"/>
          <w:color w:val="000000"/>
          <w:sz w:val="28"/>
          <w:szCs w:val="28"/>
        </w:rPr>
        <w:t>根據「</w:t>
      </w:r>
      <w:r w:rsidR="001C17AD" w:rsidRPr="001C17AD">
        <w:rPr>
          <w:rFonts w:ascii="Times New Roman" w:eastAsia="標楷體" w:hAnsi="Times New Roman" w:cs="Times New Roman" w:hint="eastAsia"/>
          <w:color w:val="000000"/>
          <w:sz w:val="28"/>
          <w:szCs w:val="28"/>
        </w:rPr>
        <w:t>全民健康保險藥物給付項目及支付標準共同擬訂辦法</w:t>
      </w:r>
      <w:r w:rsidR="001C17AD">
        <w:rPr>
          <w:rFonts w:ascii="Times New Roman" w:eastAsia="標楷體" w:hAnsi="Times New Roman" w:cs="Times New Roman" w:hint="eastAsia"/>
          <w:color w:val="000000"/>
          <w:sz w:val="28"/>
          <w:szCs w:val="28"/>
        </w:rPr>
        <w:t>」</w:t>
      </w:r>
      <w:r>
        <w:rPr>
          <w:rFonts w:ascii="Times New Roman" w:eastAsia="標楷體" w:hAnsi="Times New Roman" w:cs="Times New Roman" w:hint="eastAsia"/>
          <w:color w:val="000000"/>
          <w:sz w:val="28"/>
          <w:szCs w:val="28"/>
        </w:rPr>
        <w:t>，共擬會議議程、完整錄音與醫療科技評估報告皆須公開，其中醫療科技評估報告內容</w:t>
      </w:r>
      <w:r w:rsidR="003E50E6">
        <w:rPr>
          <w:rFonts w:ascii="Times New Roman" w:eastAsia="標楷體" w:hAnsi="Times New Roman" w:cs="Times New Roman" w:hint="eastAsia"/>
          <w:color w:val="000000"/>
          <w:sz w:val="28"/>
          <w:szCs w:val="28"/>
        </w:rPr>
        <w:t>包含疾病治療現況、相關藥物於我國收載情形、療效評估報告、成本效益評估及疾病負擔與財務評估等資訊</w:t>
      </w:r>
      <w:r w:rsidR="00EE0626">
        <w:rPr>
          <w:rFonts w:ascii="Times New Roman" w:eastAsia="標楷體" w:hAnsi="Times New Roman" w:cs="Times New Roman" w:hint="eastAsia"/>
          <w:color w:val="000000"/>
          <w:sz w:val="28"/>
          <w:szCs w:val="28"/>
        </w:rPr>
        <w:t>提供檢視</w:t>
      </w:r>
      <w:r w:rsidR="003E50E6">
        <w:rPr>
          <w:rFonts w:ascii="Times New Roman" w:eastAsia="標楷體" w:hAnsi="Times New Roman" w:cs="Times New Roman" w:hint="eastAsia"/>
          <w:color w:val="000000"/>
          <w:sz w:val="28"/>
          <w:szCs w:val="28"/>
        </w:rPr>
        <w:t>。</w:t>
      </w:r>
      <w:r w:rsidR="002C2C41" w:rsidRPr="00B83AD6">
        <w:rPr>
          <w:rFonts w:ascii="Times New Roman" w:eastAsia="標楷體" w:hAnsi="Times New Roman" w:cs="Times New Roman" w:hint="eastAsia"/>
          <w:color w:val="000000"/>
          <w:sz w:val="28"/>
          <w:szCs w:val="28"/>
        </w:rPr>
        <w:t>未來</w:t>
      </w:r>
      <w:proofErr w:type="gramStart"/>
      <w:r w:rsidR="002C2C41" w:rsidRPr="00B83AD6">
        <w:rPr>
          <w:rFonts w:ascii="Times New Roman" w:eastAsia="標楷體" w:hAnsi="Times New Roman" w:cs="Times New Roman" w:hint="eastAsia"/>
          <w:color w:val="000000"/>
          <w:sz w:val="28"/>
          <w:szCs w:val="28"/>
        </w:rPr>
        <w:t>若行</w:t>
      </w:r>
      <w:proofErr w:type="gramEnd"/>
      <w:r w:rsidR="002C2C41" w:rsidRPr="00B83AD6">
        <w:rPr>
          <w:rFonts w:ascii="Times New Roman" w:eastAsia="標楷體" w:hAnsi="Times New Roman" w:cs="Times New Roman" w:hint="eastAsia"/>
          <w:color w:val="000000"/>
          <w:sz w:val="28"/>
          <w:szCs w:val="28"/>
        </w:rPr>
        <w:t>政法人</w:t>
      </w:r>
      <w:r w:rsidR="004F5EEF">
        <w:rPr>
          <w:rFonts w:ascii="Times New Roman" w:eastAsia="標楷體" w:hAnsi="Times New Roman" w:cs="Times New Roman" w:hint="eastAsia"/>
          <w:color w:val="000000"/>
          <w:sz w:val="28"/>
          <w:szCs w:val="28"/>
        </w:rPr>
        <w:t>條例</w:t>
      </w:r>
      <w:r w:rsidR="002C2C41" w:rsidRPr="00B83AD6">
        <w:rPr>
          <w:rFonts w:ascii="Times New Roman" w:eastAsia="標楷體" w:hAnsi="Times New Roman" w:cs="Times New Roman" w:hint="eastAsia"/>
          <w:color w:val="000000"/>
          <w:sz w:val="28"/>
          <w:szCs w:val="28"/>
        </w:rPr>
        <w:t>通過之後，</w:t>
      </w:r>
      <w:r w:rsidR="004F5EEF">
        <w:rPr>
          <w:rFonts w:ascii="Times New Roman" w:eastAsia="標楷體" w:hAnsi="Times New Roman" w:cs="Times New Roman" w:hint="eastAsia"/>
          <w:color w:val="000000"/>
          <w:sz w:val="28"/>
          <w:szCs w:val="28"/>
        </w:rPr>
        <w:t>以</w:t>
      </w:r>
      <w:r w:rsidR="00E821C4">
        <w:rPr>
          <w:rFonts w:ascii="Times New Roman" w:eastAsia="標楷體" w:hAnsi="Times New Roman" w:cs="Times New Roman" w:hint="eastAsia"/>
          <w:color w:val="000000"/>
          <w:sz w:val="28"/>
          <w:szCs w:val="28"/>
        </w:rPr>
        <w:t>半官方</w:t>
      </w:r>
      <w:r w:rsidR="004F5EEF">
        <w:rPr>
          <w:rFonts w:ascii="Times New Roman" w:eastAsia="標楷體" w:hAnsi="Times New Roman" w:cs="Times New Roman" w:hint="eastAsia"/>
          <w:color w:val="000000"/>
          <w:sz w:val="28"/>
          <w:szCs w:val="28"/>
        </w:rPr>
        <w:t>型態</w:t>
      </w:r>
      <w:r w:rsidR="00E821C4">
        <w:rPr>
          <w:rFonts w:ascii="Times New Roman" w:eastAsia="標楷體" w:hAnsi="Times New Roman" w:cs="Times New Roman" w:hint="eastAsia"/>
          <w:color w:val="000000"/>
          <w:sz w:val="28"/>
          <w:szCs w:val="28"/>
        </w:rPr>
        <w:t>之行政法人受較完善之法律規範、監督及資訊</w:t>
      </w:r>
      <w:r w:rsidR="004F5EEF">
        <w:rPr>
          <w:rFonts w:ascii="Times New Roman" w:eastAsia="標楷體" w:hAnsi="Times New Roman" w:cs="Times New Roman" w:hint="eastAsia"/>
          <w:color w:val="000000"/>
          <w:sz w:val="28"/>
          <w:szCs w:val="28"/>
        </w:rPr>
        <w:t>須</w:t>
      </w:r>
      <w:r w:rsidR="00E821C4">
        <w:rPr>
          <w:rFonts w:ascii="Times New Roman" w:eastAsia="標楷體" w:hAnsi="Times New Roman" w:cs="Times New Roman" w:hint="eastAsia"/>
          <w:color w:val="000000"/>
          <w:sz w:val="28"/>
          <w:szCs w:val="28"/>
        </w:rPr>
        <w:t>公開機制</w:t>
      </w:r>
      <w:r w:rsidR="00B83AD6" w:rsidRPr="00B83AD6">
        <w:rPr>
          <w:rFonts w:ascii="Times New Roman" w:eastAsia="標楷體" w:hAnsi="Times New Roman" w:cs="Times New Roman" w:hint="eastAsia"/>
          <w:color w:val="000000"/>
          <w:sz w:val="28"/>
          <w:szCs w:val="28"/>
        </w:rPr>
        <w:t>，有望</w:t>
      </w:r>
      <w:r w:rsidR="00D76098">
        <w:rPr>
          <w:rFonts w:ascii="Times New Roman" w:eastAsia="標楷體" w:hAnsi="Times New Roman" w:cs="Times New Roman" w:hint="eastAsia"/>
          <w:color w:val="000000"/>
          <w:sz w:val="28"/>
          <w:szCs w:val="28"/>
        </w:rPr>
        <w:t>更</w:t>
      </w:r>
      <w:r w:rsidR="00B83AD6" w:rsidRPr="00B83AD6">
        <w:rPr>
          <w:rFonts w:ascii="Times New Roman" w:eastAsia="標楷體" w:hAnsi="Times New Roman" w:cs="Times New Roman" w:hint="eastAsia"/>
          <w:color w:val="000000"/>
          <w:sz w:val="28"/>
          <w:szCs w:val="28"/>
        </w:rPr>
        <w:t>進一步提升</w:t>
      </w:r>
      <w:r w:rsidR="00B83AD6" w:rsidRPr="00B83AD6">
        <w:rPr>
          <w:rFonts w:ascii="Times New Roman" w:eastAsia="標楷體" w:hAnsi="Times New Roman" w:cs="Times New Roman" w:hint="eastAsia"/>
          <w:color w:val="000000"/>
          <w:sz w:val="28"/>
          <w:szCs w:val="28"/>
        </w:rPr>
        <w:t>HTA</w:t>
      </w:r>
      <w:r w:rsidR="00B83AD6" w:rsidRPr="00B83AD6">
        <w:rPr>
          <w:rFonts w:ascii="Times New Roman" w:eastAsia="標楷體" w:hAnsi="Times New Roman" w:cs="Times New Roman" w:hint="eastAsia"/>
          <w:color w:val="000000"/>
          <w:sz w:val="28"/>
          <w:szCs w:val="28"/>
        </w:rPr>
        <w:t>評估之資訊揭露，建構可供檢視的</w:t>
      </w:r>
      <w:r w:rsidR="00B83AD6" w:rsidRPr="00B83AD6">
        <w:rPr>
          <w:rFonts w:ascii="Times New Roman" w:eastAsia="標楷體" w:hAnsi="Times New Roman" w:cs="Times New Roman" w:hint="eastAsia"/>
          <w:color w:val="000000"/>
          <w:sz w:val="28"/>
          <w:szCs w:val="28"/>
        </w:rPr>
        <w:t>HTA</w:t>
      </w:r>
      <w:r w:rsidR="00B83AD6" w:rsidRPr="00B83AD6">
        <w:rPr>
          <w:rFonts w:ascii="Times New Roman" w:eastAsia="標楷體" w:hAnsi="Times New Roman" w:cs="Times New Roman" w:hint="eastAsia"/>
          <w:color w:val="000000"/>
          <w:sz w:val="28"/>
          <w:szCs w:val="28"/>
        </w:rPr>
        <w:t>制度</w:t>
      </w:r>
      <w:r w:rsidR="00E821C4">
        <w:rPr>
          <w:rFonts w:ascii="Times New Roman" w:eastAsia="標楷體" w:hAnsi="Times New Roman" w:cs="Times New Roman" w:hint="eastAsia"/>
          <w:color w:val="000000"/>
          <w:sz w:val="28"/>
          <w:szCs w:val="28"/>
        </w:rPr>
        <w:t>，提高外界對醫療科技評估報告之信任度與專業認同</w:t>
      </w:r>
      <w:r w:rsidR="00B83AD6" w:rsidRPr="00B83AD6">
        <w:rPr>
          <w:rFonts w:ascii="Times New Roman" w:eastAsia="標楷體" w:hAnsi="Times New Roman" w:cs="Times New Roman" w:hint="eastAsia"/>
          <w:color w:val="000000"/>
          <w:sz w:val="28"/>
          <w:szCs w:val="28"/>
        </w:rPr>
        <w:t>。</w:t>
      </w:r>
    </w:p>
    <w:p w14:paraId="73129F99" w14:textId="77777777" w:rsidR="00CF4808" w:rsidRPr="00B83AD6" w:rsidRDefault="00CF4808" w:rsidP="00B83AD6">
      <w:pPr>
        <w:spacing w:line="440" w:lineRule="exact"/>
        <w:jc w:val="both"/>
        <w:rPr>
          <w:rFonts w:ascii="Times New Roman" w:eastAsia="標楷體" w:hAnsi="Times New Roman" w:cs="Times New Roman"/>
          <w:color w:val="000000"/>
          <w:sz w:val="28"/>
          <w:szCs w:val="28"/>
        </w:rPr>
      </w:pPr>
    </w:p>
    <w:p w14:paraId="55BAE8F9" w14:textId="21F8F384" w:rsidR="00B83AD6" w:rsidRPr="00B83AD6" w:rsidRDefault="00B83AD6" w:rsidP="00B83AD6">
      <w:pPr>
        <w:spacing w:line="440" w:lineRule="exact"/>
        <w:jc w:val="both"/>
        <w:rPr>
          <w:rFonts w:ascii="Times New Roman" w:eastAsia="標楷體" w:hAnsi="Times New Roman" w:cs="Times New Roman"/>
          <w:color w:val="000000"/>
          <w:sz w:val="28"/>
          <w:szCs w:val="28"/>
        </w:rPr>
      </w:pPr>
      <w:proofErr w:type="gramStart"/>
      <w:r w:rsidRPr="00B83AD6">
        <w:rPr>
          <w:rFonts w:ascii="Times New Roman" w:eastAsia="標楷體" w:hAnsi="Times New Roman" w:cs="Times New Roman" w:hint="eastAsia"/>
          <w:color w:val="000000"/>
          <w:sz w:val="28"/>
          <w:szCs w:val="28"/>
          <w:shd w:val="pct15" w:color="auto" w:fill="FFFFFF"/>
        </w:rPr>
        <w:t>本署說明</w:t>
      </w:r>
      <w:proofErr w:type="gramEnd"/>
      <w:r>
        <w:rPr>
          <w:rFonts w:ascii="Times New Roman" w:eastAsia="標楷體" w:hAnsi="Times New Roman" w:cs="Times New Roman" w:hint="eastAsia"/>
          <w:color w:val="000000"/>
          <w:sz w:val="28"/>
          <w:szCs w:val="28"/>
          <w:shd w:val="pct15" w:color="auto" w:fill="FFFFFF"/>
        </w:rPr>
        <w:t>2</w:t>
      </w:r>
      <w:r w:rsidRPr="00B83AD6">
        <w:rPr>
          <w:rFonts w:ascii="Times New Roman" w:eastAsia="標楷體" w:hAnsi="Times New Roman" w:cs="Times New Roman" w:hint="eastAsia"/>
          <w:color w:val="000000"/>
          <w:sz w:val="28"/>
          <w:szCs w:val="28"/>
          <w:shd w:val="pct15" w:color="auto" w:fill="FFFFFF"/>
        </w:rPr>
        <w:t>：</w:t>
      </w:r>
    </w:p>
    <w:p w14:paraId="78BE9F18" w14:textId="2306483C" w:rsidR="00932AFD" w:rsidRDefault="00B83AD6" w:rsidP="00AF67A5">
      <w:pPr>
        <w:pStyle w:val="a3"/>
        <w:numPr>
          <w:ilvl w:val="0"/>
          <w:numId w:val="28"/>
        </w:numPr>
        <w:spacing w:line="440" w:lineRule="exact"/>
        <w:ind w:leftChars="0"/>
        <w:jc w:val="both"/>
        <w:rPr>
          <w:rFonts w:ascii="Times New Roman" w:eastAsia="標楷體" w:hAnsi="Times New Roman" w:cs="Times New Roman"/>
          <w:color w:val="000000"/>
          <w:sz w:val="28"/>
          <w:szCs w:val="28"/>
        </w:rPr>
      </w:pPr>
      <w:r w:rsidRPr="00B83AD6">
        <w:rPr>
          <w:rFonts w:ascii="Times New Roman" w:eastAsia="標楷體" w:hAnsi="Times New Roman" w:cs="Times New Roman" w:hint="eastAsia"/>
          <w:color w:val="000000"/>
          <w:sz w:val="28"/>
          <w:szCs w:val="28"/>
        </w:rPr>
        <w:t>健保署自</w:t>
      </w:r>
      <w:r w:rsidRPr="00B83AD6">
        <w:rPr>
          <w:rFonts w:ascii="Times New Roman" w:eastAsia="標楷體" w:hAnsi="Times New Roman" w:cs="Times New Roman" w:hint="eastAsia"/>
          <w:color w:val="000000"/>
          <w:sz w:val="28"/>
          <w:szCs w:val="28"/>
        </w:rPr>
        <w:t>104</w:t>
      </w:r>
      <w:r w:rsidRPr="00B83AD6">
        <w:rPr>
          <w:rFonts w:ascii="Times New Roman" w:eastAsia="標楷體" w:hAnsi="Times New Roman" w:cs="Times New Roman" w:hint="eastAsia"/>
          <w:color w:val="000000"/>
          <w:sz w:val="28"/>
          <w:szCs w:val="28"/>
        </w:rPr>
        <w:t>年起建置「新藥及新醫材病友意見分享平台」，以結構化方式蒐集病人對疾病負擔、治療限制及生活影響等實際經驗，作為</w:t>
      </w:r>
      <w:r w:rsidRPr="00B83AD6">
        <w:rPr>
          <w:rFonts w:ascii="Times New Roman" w:eastAsia="標楷體" w:hAnsi="Times New Roman" w:cs="Times New Roman" w:hint="eastAsia"/>
          <w:color w:val="000000"/>
          <w:sz w:val="28"/>
          <w:szCs w:val="28"/>
        </w:rPr>
        <w:t>HTA</w:t>
      </w:r>
      <w:r w:rsidRPr="00B83AD6">
        <w:rPr>
          <w:rFonts w:ascii="Times New Roman" w:eastAsia="標楷體" w:hAnsi="Times New Roman" w:cs="Times New Roman" w:hint="eastAsia"/>
          <w:color w:val="000000"/>
          <w:sz w:val="28"/>
          <w:szCs w:val="28"/>
        </w:rPr>
        <w:t>評估的重要參考。過去病友意見</w:t>
      </w:r>
      <w:r w:rsidR="008E1F5A">
        <w:rPr>
          <w:rFonts w:ascii="Times New Roman" w:eastAsia="標楷體" w:hAnsi="Times New Roman" w:cs="Times New Roman" w:hint="eastAsia"/>
          <w:color w:val="000000"/>
          <w:sz w:val="28"/>
          <w:szCs w:val="28"/>
        </w:rPr>
        <w:t>僅</w:t>
      </w:r>
      <w:r w:rsidRPr="00B83AD6">
        <w:rPr>
          <w:rFonts w:ascii="Times New Roman" w:eastAsia="標楷體" w:hAnsi="Times New Roman" w:cs="Times New Roman" w:hint="eastAsia"/>
          <w:color w:val="000000"/>
          <w:sz w:val="28"/>
          <w:szCs w:val="28"/>
        </w:rPr>
        <w:t>於</w:t>
      </w:r>
      <w:r w:rsidR="00E453BD">
        <w:rPr>
          <w:rFonts w:ascii="Times New Roman" w:eastAsia="標楷體" w:hAnsi="Times New Roman" w:cs="Times New Roman" w:hint="eastAsia"/>
          <w:color w:val="000000"/>
          <w:sz w:val="28"/>
          <w:szCs w:val="28"/>
        </w:rPr>
        <w:t>共擬會議</w:t>
      </w:r>
      <w:r w:rsidRPr="00B83AD6">
        <w:rPr>
          <w:rFonts w:ascii="Times New Roman" w:eastAsia="標楷體" w:hAnsi="Times New Roman" w:cs="Times New Roman" w:hint="eastAsia"/>
          <w:color w:val="000000"/>
          <w:sz w:val="28"/>
          <w:szCs w:val="28"/>
        </w:rPr>
        <w:t>階段呈現，自</w:t>
      </w:r>
      <w:r w:rsidRPr="00B83AD6">
        <w:rPr>
          <w:rFonts w:ascii="Times New Roman" w:eastAsia="標楷體" w:hAnsi="Times New Roman" w:cs="Times New Roman" w:hint="eastAsia"/>
          <w:color w:val="000000"/>
          <w:sz w:val="28"/>
          <w:szCs w:val="28"/>
        </w:rPr>
        <w:t>114</w:t>
      </w:r>
      <w:r w:rsidRPr="00B83AD6">
        <w:rPr>
          <w:rFonts w:ascii="Times New Roman" w:eastAsia="標楷體" w:hAnsi="Times New Roman" w:cs="Times New Roman" w:hint="eastAsia"/>
          <w:color w:val="000000"/>
          <w:sz w:val="28"/>
          <w:szCs w:val="28"/>
        </w:rPr>
        <w:t>年</w:t>
      </w:r>
      <w:r w:rsidRPr="00B83AD6">
        <w:rPr>
          <w:rFonts w:ascii="Times New Roman" w:eastAsia="標楷體" w:hAnsi="Times New Roman" w:cs="Times New Roman" w:hint="eastAsia"/>
          <w:color w:val="000000"/>
          <w:sz w:val="28"/>
          <w:szCs w:val="28"/>
        </w:rPr>
        <w:t>10</w:t>
      </w:r>
      <w:r w:rsidRPr="00B83AD6">
        <w:rPr>
          <w:rFonts w:ascii="Times New Roman" w:eastAsia="標楷體" w:hAnsi="Times New Roman" w:cs="Times New Roman" w:hint="eastAsia"/>
          <w:color w:val="000000"/>
          <w:sz w:val="28"/>
          <w:szCs w:val="28"/>
        </w:rPr>
        <w:t>月起，提前於專家會議審查階段即納入考量，使病人觀點得以在評估初期即發揮實質影響，提升評估內容對真實醫療需求的貼近性。</w:t>
      </w:r>
      <w:r w:rsidR="00C511F0">
        <w:rPr>
          <w:rFonts w:ascii="Times New Roman" w:eastAsia="標楷體" w:hAnsi="Times New Roman" w:cs="Times New Roman" w:hint="eastAsia"/>
          <w:color w:val="000000"/>
          <w:sz w:val="28"/>
          <w:szCs w:val="28"/>
        </w:rPr>
        <w:t>而廠商也</w:t>
      </w:r>
      <w:r w:rsidR="00C511F0">
        <w:rPr>
          <w:rFonts w:ascii="Times New Roman" w:eastAsia="標楷體" w:hAnsi="Times New Roman" w:cs="Times New Roman" w:hint="eastAsia"/>
          <w:color w:val="000000"/>
          <w:sz w:val="28"/>
          <w:szCs w:val="28"/>
        </w:rPr>
        <w:lastRenderedPageBreak/>
        <w:t>可以在專家會議時，申請到場報告，說明以廠商角度之藥品給付與核價建議。</w:t>
      </w:r>
    </w:p>
    <w:p w14:paraId="72EF106F" w14:textId="3EFF508F" w:rsidR="008E1F5A" w:rsidRDefault="008E1F5A" w:rsidP="00AF67A5">
      <w:pPr>
        <w:pStyle w:val="a3"/>
        <w:numPr>
          <w:ilvl w:val="0"/>
          <w:numId w:val="28"/>
        </w:numPr>
        <w:spacing w:line="440" w:lineRule="exact"/>
        <w:ind w:leftChars="0"/>
        <w:jc w:val="both"/>
        <w:rPr>
          <w:rFonts w:ascii="Times New Roman" w:eastAsia="標楷體" w:hAnsi="Times New Roman" w:cs="Times New Roman"/>
          <w:color w:val="000000"/>
          <w:sz w:val="28"/>
          <w:szCs w:val="28"/>
        </w:rPr>
      </w:pPr>
      <w:r w:rsidRPr="008E1F5A">
        <w:rPr>
          <w:rFonts w:ascii="Times New Roman" w:eastAsia="標楷體" w:hAnsi="Times New Roman" w:cs="Times New Roman" w:hint="eastAsia"/>
          <w:color w:val="000000"/>
          <w:sz w:val="28"/>
          <w:szCs w:val="28"/>
        </w:rPr>
        <w:t>在決策機制上，健保署透過「共同擬訂會議」制度，確保多元利害關係人意見能於正式程序中被充分討論。會議成員包含被保險人代表、臨床專家、藥物提供者及醫療服務提供者，並邀請病友團體等以列席方式參與，其中</w:t>
      </w:r>
      <w:r w:rsidRPr="008E1F5A">
        <w:rPr>
          <w:rFonts w:ascii="Times New Roman" w:eastAsia="標楷體" w:hAnsi="Times New Roman" w:cs="Times New Roman" w:hint="eastAsia"/>
          <w:color w:val="000000"/>
          <w:sz w:val="28"/>
          <w:szCs w:val="28"/>
        </w:rPr>
        <w:t>114-115</w:t>
      </w:r>
      <w:r w:rsidRPr="008E1F5A">
        <w:rPr>
          <w:rFonts w:ascii="Times New Roman" w:eastAsia="標楷體" w:hAnsi="Times New Roman" w:cs="Times New Roman" w:hint="eastAsia"/>
          <w:color w:val="000000"/>
          <w:sz w:val="28"/>
          <w:szCs w:val="28"/>
        </w:rPr>
        <w:t>年藥品部分共擬會議代表之被保險人</w:t>
      </w:r>
      <w:r w:rsidRPr="008E1F5A">
        <w:rPr>
          <w:rFonts w:ascii="Times New Roman" w:eastAsia="標楷體" w:hAnsi="Times New Roman" w:cs="Times New Roman" w:hint="eastAsia"/>
          <w:color w:val="000000"/>
          <w:sz w:val="28"/>
          <w:szCs w:val="28"/>
        </w:rPr>
        <w:t>2</w:t>
      </w:r>
      <w:r w:rsidRPr="008E1F5A">
        <w:rPr>
          <w:rFonts w:ascii="Times New Roman" w:eastAsia="標楷體" w:hAnsi="Times New Roman" w:cs="Times New Roman" w:hint="eastAsia"/>
          <w:color w:val="000000"/>
          <w:sz w:val="28"/>
          <w:szCs w:val="28"/>
        </w:rPr>
        <w:t>席更來自病友團體推薦，使病人與社會觀點得以與專業評估相互對話，促進決策過程的透明性與周延性。</w:t>
      </w:r>
    </w:p>
    <w:p w14:paraId="32F38371" w14:textId="1172917A" w:rsidR="008E1F5A" w:rsidRPr="00CF4808" w:rsidRDefault="002D14A2" w:rsidP="00CF4808">
      <w:pPr>
        <w:pStyle w:val="a3"/>
        <w:numPr>
          <w:ilvl w:val="0"/>
          <w:numId w:val="28"/>
        </w:numPr>
        <w:spacing w:line="440" w:lineRule="exact"/>
        <w:ind w:leftChars="0"/>
        <w:jc w:val="both"/>
        <w:rPr>
          <w:rFonts w:ascii="Times New Roman" w:eastAsia="標楷體" w:hAnsi="Times New Roman" w:cs="Times New Roman"/>
          <w:color w:val="000000"/>
          <w:sz w:val="28"/>
          <w:szCs w:val="28"/>
        </w:rPr>
      </w:pPr>
      <w:r>
        <w:rPr>
          <w:rFonts w:ascii="Times New Roman" w:eastAsia="標楷體" w:hAnsi="Times New Roman" w:cs="Times New Roman" w:hint="eastAsia"/>
          <w:color w:val="000000"/>
          <w:sz w:val="28"/>
          <w:szCs w:val="28"/>
        </w:rPr>
        <w:t>除評估流程外，</w:t>
      </w:r>
      <w:proofErr w:type="gramStart"/>
      <w:r w:rsidR="008E1F5A">
        <w:rPr>
          <w:rFonts w:ascii="Times New Roman" w:eastAsia="標楷體" w:hAnsi="Times New Roman" w:cs="Times New Roman" w:hint="eastAsia"/>
          <w:color w:val="000000"/>
          <w:sz w:val="28"/>
          <w:szCs w:val="28"/>
        </w:rPr>
        <w:t>本署也</w:t>
      </w:r>
      <w:proofErr w:type="gramEnd"/>
      <w:r w:rsidR="008E1F5A">
        <w:rPr>
          <w:rFonts w:ascii="Times New Roman" w:eastAsia="標楷體" w:hAnsi="Times New Roman" w:cs="Times New Roman" w:hint="eastAsia"/>
          <w:color w:val="000000"/>
          <w:sz w:val="28"/>
          <w:szCs w:val="28"/>
        </w:rPr>
        <w:t>委託</w:t>
      </w:r>
      <w:r w:rsidR="008E1F5A">
        <w:rPr>
          <w:rFonts w:ascii="Times New Roman" w:eastAsia="標楷體" w:hAnsi="Times New Roman" w:cs="Times New Roman" w:hint="eastAsia"/>
          <w:color w:val="000000"/>
          <w:sz w:val="28"/>
          <w:szCs w:val="28"/>
        </w:rPr>
        <w:t>CDE HTA</w:t>
      </w:r>
      <w:r w:rsidR="008E1F5A">
        <w:rPr>
          <w:rFonts w:ascii="Times New Roman" w:eastAsia="標楷體" w:hAnsi="Times New Roman" w:cs="Times New Roman" w:hint="eastAsia"/>
          <w:color w:val="000000"/>
          <w:sz w:val="28"/>
          <w:szCs w:val="28"/>
        </w:rPr>
        <w:t>團隊，</w:t>
      </w:r>
      <w:r w:rsidR="008E1F5A" w:rsidRPr="008E1F5A">
        <w:rPr>
          <w:rFonts w:ascii="Times New Roman" w:eastAsia="標楷體" w:hAnsi="Times New Roman" w:cs="Times New Roman" w:hint="eastAsia"/>
          <w:color w:val="000000"/>
          <w:sz w:val="28"/>
          <w:szCs w:val="28"/>
        </w:rPr>
        <w:t>定期舉辦「醫療科技評估產官學溝通會議」，就</w:t>
      </w:r>
      <w:r w:rsidR="008A525D">
        <w:rPr>
          <w:rFonts w:ascii="Times New Roman" w:eastAsia="標楷體" w:hAnsi="Times New Roman" w:cs="Times New Roman" w:hint="eastAsia"/>
          <w:color w:val="000000"/>
          <w:sz w:val="28"/>
          <w:szCs w:val="28"/>
        </w:rPr>
        <w:t>各項制度</w:t>
      </w:r>
      <w:r w:rsidR="008E1F5A" w:rsidRPr="008E1F5A">
        <w:rPr>
          <w:rFonts w:ascii="Times New Roman" w:eastAsia="標楷體" w:hAnsi="Times New Roman" w:cs="Times New Roman" w:hint="eastAsia"/>
          <w:color w:val="000000"/>
          <w:sz w:val="28"/>
          <w:szCs w:val="28"/>
        </w:rPr>
        <w:t>公開蒐集意見並逐條回應</w:t>
      </w:r>
      <w:r w:rsidR="00CF4808">
        <w:rPr>
          <w:rFonts w:ascii="Times New Roman" w:eastAsia="標楷體" w:hAnsi="Times New Roman" w:cs="Times New Roman" w:hint="eastAsia"/>
          <w:color w:val="000000"/>
          <w:sz w:val="28"/>
          <w:szCs w:val="28"/>
        </w:rPr>
        <w:t>，</w:t>
      </w:r>
      <w:r w:rsidR="008A525D">
        <w:rPr>
          <w:rFonts w:ascii="Times New Roman" w:eastAsia="標楷體" w:hAnsi="Times New Roman" w:cs="Times New Roman" w:hint="eastAsia"/>
          <w:color w:val="000000"/>
          <w:sz w:val="28"/>
          <w:szCs w:val="28"/>
        </w:rPr>
        <w:t>希冀促進三方交流，加強推動醫療科技評估業務</w:t>
      </w:r>
      <w:r w:rsidR="004E46BD">
        <w:rPr>
          <w:rFonts w:ascii="Times New Roman" w:eastAsia="標楷體" w:hAnsi="Times New Roman" w:cs="Times New Roman" w:hint="eastAsia"/>
          <w:color w:val="000000"/>
          <w:sz w:val="28"/>
          <w:szCs w:val="28"/>
        </w:rPr>
        <w:t>。同時在</w:t>
      </w:r>
      <w:r w:rsidR="00CF4808" w:rsidRPr="00CF4808">
        <w:rPr>
          <w:rFonts w:ascii="Times New Roman" w:eastAsia="標楷體" w:hAnsi="Times New Roman" w:cs="Times New Roman"/>
          <w:color w:val="000000"/>
          <w:sz w:val="28"/>
          <w:szCs w:val="28"/>
        </w:rPr>
        <w:t>作業要點與方法學指引中，明定廠商、病友與學會可參與</w:t>
      </w:r>
      <w:r w:rsidR="00CF4808">
        <w:rPr>
          <w:rFonts w:ascii="Times New Roman" w:eastAsia="標楷體" w:hAnsi="Times New Roman" w:cs="Times New Roman" w:hint="eastAsia"/>
          <w:color w:val="000000"/>
          <w:sz w:val="28"/>
          <w:szCs w:val="28"/>
        </w:rPr>
        <w:t>HTA</w:t>
      </w:r>
      <w:r w:rsidR="00CF4808" w:rsidRPr="00CF4808">
        <w:rPr>
          <w:rFonts w:ascii="Times New Roman" w:eastAsia="標楷體" w:hAnsi="Times New Roman" w:cs="Times New Roman"/>
          <w:color w:val="000000"/>
          <w:sz w:val="28"/>
          <w:szCs w:val="28"/>
        </w:rPr>
        <w:t>的時機點、回覆期限與資料格式</w:t>
      </w:r>
      <w:r w:rsidR="008A525D">
        <w:rPr>
          <w:rFonts w:ascii="Times New Roman" w:eastAsia="標楷體" w:hAnsi="Times New Roman" w:cs="Times New Roman" w:hint="eastAsia"/>
          <w:color w:val="000000"/>
          <w:sz w:val="28"/>
          <w:szCs w:val="28"/>
        </w:rPr>
        <w:t>，將參與機制制度化</w:t>
      </w:r>
      <w:r w:rsidR="004E46BD">
        <w:rPr>
          <w:rFonts w:ascii="Times New Roman" w:eastAsia="標楷體" w:hAnsi="Times New Roman" w:cs="Times New Roman" w:hint="eastAsia"/>
          <w:color w:val="000000"/>
          <w:sz w:val="28"/>
          <w:szCs w:val="28"/>
        </w:rPr>
        <w:t>。</w:t>
      </w:r>
      <w:r w:rsidR="007664A0">
        <w:rPr>
          <w:rFonts w:ascii="Times New Roman" w:eastAsia="標楷體" w:hAnsi="Times New Roman" w:cs="Times New Roman" w:hint="eastAsia"/>
          <w:color w:val="000000"/>
          <w:sz w:val="28"/>
          <w:szCs w:val="28"/>
        </w:rPr>
        <w:t>HTA</w:t>
      </w:r>
      <w:r w:rsidR="007664A0">
        <w:rPr>
          <w:rFonts w:ascii="Times New Roman" w:eastAsia="標楷體" w:hAnsi="Times New Roman" w:cs="Times New Roman" w:hint="eastAsia"/>
          <w:color w:val="000000"/>
          <w:sz w:val="28"/>
          <w:szCs w:val="28"/>
        </w:rPr>
        <w:t>團隊也</w:t>
      </w:r>
      <w:r w:rsidR="00A25333">
        <w:rPr>
          <w:rFonts w:ascii="Times New Roman" w:eastAsia="標楷體" w:hAnsi="Times New Roman" w:cs="Times New Roman" w:hint="eastAsia"/>
          <w:color w:val="000000"/>
          <w:sz w:val="28"/>
          <w:szCs w:val="28"/>
        </w:rPr>
        <w:t>持續</w:t>
      </w:r>
      <w:r w:rsidR="007664A0">
        <w:rPr>
          <w:rFonts w:ascii="Times New Roman" w:eastAsia="標楷體" w:hAnsi="Times New Roman" w:cs="Times New Roman" w:hint="eastAsia"/>
          <w:color w:val="000000"/>
          <w:sz w:val="28"/>
          <w:szCs w:val="28"/>
        </w:rPr>
        <w:t>與病友團體建立夥伴關係、參與</w:t>
      </w:r>
      <w:r w:rsidR="008E1F5A" w:rsidRPr="00CF4808">
        <w:rPr>
          <w:rFonts w:ascii="Times New Roman" w:eastAsia="標楷體" w:hAnsi="Times New Roman" w:cs="Times New Roman" w:hint="eastAsia"/>
          <w:color w:val="000000"/>
          <w:sz w:val="28"/>
          <w:szCs w:val="28"/>
        </w:rPr>
        <w:t>病友代表培力，讓病友意見能以更結構化、可比較的方式納入評估。</w:t>
      </w:r>
    </w:p>
    <w:p w14:paraId="422C9AE2" w14:textId="68A1ACD4" w:rsidR="00BA5F85" w:rsidRPr="006066ED" w:rsidRDefault="00BA5F85" w:rsidP="00180B50">
      <w:pPr>
        <w:spacing w:line="440" w:lineRule="exact"/>
        <w:jc w:val="both"/>
        <w:rPr>
          <w:rFonts w:ascii="Times New Roman" w:eastAsia="標楷體" w:hAnsi="Times New Roman" w:cs="Times New Roman"/>
          <w:color w:val="000000"/>
          <w:sz w:val="28"/>
          <w:szCs w:val="28"/>
        </w:rPr>
      </w:pPr>
    </w:p>
    <w:p w14:paraId="23F5EF43" w14:textId="5D6F6D1B" w:rsidR="00BA5F85" w:rsidRDefault="00DF1EE8" w:rsidP="00180B50">
      <w:pPr>
        <w:spacing w:line="440" w:lineRule="exact"/>
        <w:jc w:val="both"/>
        <w:rPr>
          <w:rFonts w:ascii="Times New Roman" w:eastAsia="標楷體" w:hAnsi="Times New Roman" w:cs="Times New Roman"/>
          <w:color w:val="000000"/>
          <w:sz w:val="28"/>
          <w:szCs w:val="28"/>
        </w:rPr>
      </w:pPr>
      <w:proofErr w:type="gramStart"/>
      <w:r w:rsidRPr="00DF1EE8">
        <w:rPr>
          <w:rFonts w:ascii="Times New Roman" w:eastAsia="標楷體" w:hAnsi="Times New Roman" w:cs="Times New Roman" w:hint="eastAsia"/>
          <w:color w:val="000000"/>
          <w:sz w:val="28"/>
          <w:szCs w:val="28"/>
          <w:shd w:val="pct15" w:color="auto" w:fill="FFFFFF"/>
        </w:rPr>
        <w:t>本署說明</w:t>
      </w:r>
      <w:proofErr w:type="gramEnd"/>
      <w:r w:rsidRPr="00DF1EE8">
        <w:rPr>
          <w:rFonts w:ascii="Times New Roman" w:eastAsia="標楷體" w:hAnsi="Times New Roman" w:cs="Times New Roman" w:hint="eastAsia"/>
          <w:color w:val="000000"/>
          <w:sz w:val="28"/>
          <w:szCs w:val="28"/>
          <w:shd w:val="pct15" w:color="auto" w:fill="FFFFFF"/>
        </w:rPr>
        <w:t>1</w:t>
      </w:r>
      <w:r w:rsidRPr="00DF1EE8">
        <w:rPr>
          <w:rFonts w:ascii="Times New Roman" w:eastAsia="標楷體" w:hAnsi="Times New Roman" w:cs="Times New Roman" w:hint="eastAsia"/>
          <w:color w:val="000000"/>
          <w:sz w:val="28"/>
          <w:szCs w:val="28"/>
          <w:shd w:val="pct15" w:color="auto" w:fill="FFFFFF"/>
        </w:rPr>
        <w:t>：</w:t>
      </w:r>
      <w:r w:rsidR="00BA5F85" w:rsidRPr="00180B50">
        <w:rPr>
          <w:rFonts w:ascii="Times New Roman" w:eastAsia="標楷體" w:hAnsi="Times New Roman" w:cs="Times New Roman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7C43E6F0" wp14:editId="53FF77D4">
                <wp:simplePos x="0" y="0"/>
                <wp:positionH relativeFrom="margin">
                  <wp:posOffset>0</wp:posOffset>
                </wp:positionH>
                <wp:positionV relativeFrom="paragraph">
                  <wp:posOffset>321945</wp:posOffset>
                </wp:positionV>
                <wp:extent cx="5734050" cy="1404620"/>
                <wp:effectExtent l="0" t="0" r="19050" b="26670"/>
                <wp:wrapSquare wrapText="bothSides"/>
                <wp:docPr id="3" name="文字方塊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340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72D1CD" w14:textId="1C854227" w:rsidR="00BA5F85" w:rsidRDefault="00BA5F85" w:rsidP="00BA5F85">
                            <w:pPr>
                              <w:pStyle w:val="a3"/>
                              <w:numPr>
                                <w:ilvl w:val="0"/>
                                <w:numId w:val="2"/>
                              </w:numPr>
                              <w:spacing w:line="440" w:lineRule="exact"/>
                              <w:ind w:leftChars="0" w:left="567" w:hanging="567"/>
                              <w:jc w:val="both"/>
                              <w:rPr>
                                <w:rFonts w:ascii="Times New Roman" w:eastAsia="標楷體" w:hAnsi="Times New Roman" w:cs="Times New Roman"/>
                                <w:color w:val="00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eastAsia="標楷體" w:hAnsi="Times New Roman" w:cs="Times New Roman" w:hint="eastAsia"/>
                                <w:color w:val="000000"/>
                                <w:sz w:val="28"/>
                                <w:szCs w:val="28"/>
                              </w:rPr>
                              <w:t>優化評估流程：提升評估效率與決策一致性</w:t>
                            </w:r>
                          </w:p>
                          <w:p w14:paraId="24E786BC" w14:textId="209F0C25" w:rsidR="00BA5F85" w:rsidRPr="00BA5F85" w:rsidRDefault="00BA5F85" w:rsidP="0043364F">
                            <w:pPr>
                              <w:pStyle w:val="a3"/>
                              <w:numPr>
                                <w:ilvl w:val="0"/>
                                <w:numId w:val="24"/>
                              </w:numPr>
                              <w:spacing w:line="440" w:lineRule="exact"/>
                              <w:ind w:leftChars="0"/>
                              <w:jc w:val="both"/>
                              <w:rPr>
                                <w:rFonts w:ascii="Times New Roman" w:eastAsia="標楷體" w:hAnsi="Times New Roman" w:cs="Times New Roman"/>
                                <w:color w:val="00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eastAsia="標楷體" w:hAnsi="Times New Roman" w:cs="Times New Roman" w:hint="eastAsia"/>
                                <w:color w:val="000000"/>
                                <w:sz w:val="28"/>
                                <w:szCs w:val="28"/>
                              </w:rPr>
                              <w:t>建立前期「給付範圍及參考品等」的對焦流程，並明確評估過程中範圍調整之說明及調整，以兼顧效率與透明度</w:t>
                            </w:r>
                          </w:p>
                          <w:p w14:paraId="61289BEF" w14:textId="215A1B2F" w:rsidR="00BA5F85" w:rsidRDefault="00BA5F85" w:rsidP="0043364F">
                            <w:pPr>
                              <w:pStyle w:val="a3"/>
                              <w:numPr>
                                <w:ilvl w:val="0"/>
                                <w:numId w:val="24"/>
                              </w:numPr>
                              <w:spacing w:line="440" w:lineRule="exact"/>
                              <w:ind w:leftChars="0"/>
                              <w:jc w:val="both"/>
                              <w:rPr>
                                <w:rFonts w:ascii="Times New Roman" w:eastAsia="標楷體" w:hAnsi="Times New Roman" w:cs="Times New Roman"/>
                                <w:color w:val="00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eastAsia="標楷體" w:hAnsi="Times New Roman" w:cs="Times New Roman" w:hint="eastAsia"/>
                                <w:color w:val="000000"/>
                                <w:sz w:val="28"/>
                                <w:szCs w:val="28"/>
                              </w:rPr>
                              <w:t>續動態調整專家（諮詢與及評估）與參與模式，以提升評估品質與公信力</w:t>
                            </w:r>
                          </w:p>
                          <w:p w14:paraId="3F157382" w14:textId="3E4482C8" w:rsidR="00BA5F85" w:rsidRPr="00BA5F85" w:rsidRDefault="00BA5F85" w:rsidP="0043364F">
                            <w:pPr>
                              <w:pStyle w:val="a3"/>
                              <w:numPr>
                                <w:ilvl w:val="0"/>
                                <w:numId w:val="24"/>
                              </w:numPr>
                              <w:spacing w:line="440" w:lineRule="exact"/>
                              <w:ind w:leftChars="0"/>
                              <w:jc w:val="both"/>
                              <w:rPr>
                                <w:rFonts w:ascii="Times New Roman" w:eastAsia="標楷體" w:hAnsi="Times New Roman" w:cs="Times New Roman"/>
                                <w:color w:val="00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eastAsia="標楷體" w:hAnsi="Times New Roman" w:cs="Times New Roman" w:hint="eastAsia"/>
                                <w:color w:val="000000"/>
                                <w:sz w:val="28"/>
                                <w:szCs w:val="28"/>
                              </w:rPr>
                              <w:t>逐步建立一致之成本效益與評估架構，並在制度一致性與個案（罕見疾病、嚴重重大疾病）彈性間取得平衡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C43E6F0" id="文字方塊 3" o:spid="_x0000_s1028" type="#_x0000_t202" style="position:absolute;left:0;text-align:left;margin-left:0;margin-top:25.35pt;width:451.5pt;height:110.6pt;z-index:251667456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">
                <v:textbox style="mso-fit-shape-to-text:t">
                  <w:txbxContent>
                    <w:p w14:paraId="5972D1CD" w14:textId="1C854227" w:rsidR="00BA5F85" w:rsidRDefault="00BA5F85" w:rsidP="00BA5F85">
                      <w:pPr>
                        <w:pStyle w:val="a3"/>
                        <w:numPr>
                          <w:ilvl w:val="0"/>
                          <w:numId w:val="2"/>
                        </w:numPr>
                        <w:spacing w:line="440" w:lineRule="exact"/>
                        <w:ind w:leftChars="0" w:left="567" w:hanging="567"/>
                        <w:jc w:val="both"/>
                        <w:rPr>
                          <w:rFonts w:ascii="Times New Roman" w:eastAsia="標楷體" w:hAnsi="Times New Roman" w:cs="Times New Roman"/>
                          <w:color w:val="000000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eastAsia="標楷體" w:hAnsi="Times New Roman" w:cs="Times New Roman" w:hint="eastAsia"/>
                          <w:color w:val="000000"/>
                          <w:sz w:val="28"/>
                          <w:szCs w:val="28"/>
                        </w:rPr>
                        <w:t>優化評估流程：提升評估效率與決策一致性</w:t>
                      </w:r>
                    </w:p>
                    <w:p w14:paraId="24E786BC" w14:textId="209F0C25" w:rsidR="00BA5F85" w:rsidRPr="00BA5F85" w:rsidRDefault="00BA5F85" w:rsidP="0043364F">
                      <w:pPr>
                        <w:pStyle w:val="a3"/>
                        <w:numPr>
                          <w:ilvl w:val="0"/>
                          <w:numId w:val="24"/>
                        </w:numPr>
                        <w:spacing w:line="440" w:lineRule="exact"/>
                        <w:ind w:leftChars="0"/>
                        <w:jc w:val="both"/>
                        <w:rPr>
                          <w:rFonts w:ascii="Times New Roman" w:eastAsia="標楷體" w:hAnsi="Times New Roman" w:cs="Times New Roman"/>
                          <w:color w:val="000000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eastAsia="標楷體" w:hAnsi="Times New Roman" w:cs="Times New Roman" w:hint="eastAsia"/>
                          <w:color w:val="000000"/>
                          <w:sz w:val="28"/>
                          <w:szCs w:val="28"/>
                        </w:rPr>
                        <w:t>建立前期「給付範圍及參考品等」的對焦流程，並明確評估過程中範圍調整之說明及調整，以兼顧效率與透明度</w:t>
                      </w:r>
                    </w:p>
                    <w:p w14:paraId="61289BEF" w14:textId="215A1B2F" w:rsidR="00BA5F85" w:rsidRDefault="00BA5F85" w:rsidP="0043364F">
                      <w:pPr>
                        <w:pStyle w:val="a3"/>
                        <w:numPr>
                          <w:ilvl w:val="0"/>
                          <w:numId w:val="24"/>
                        </w:numPr>
                        <w:spacing w:line="440" w:lineRule="exact"/>
                        <w:ind w:leftChars="0"/>
                        <w:jc w:val="both"/>
                        <w:rPr>
                          <w:rFonts w:ascii="Times New Roman" w:eastAsia="標楷體" w:hAnsi="Times New Roman" w:cs="Times New Roman"/>
                          <w:color w:val="000000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eastAsia="標楷體" w:hAnsi="Times New Roman" w:cs="Times New Roman" w:hint="eastAsia"/>
                          <w:color w:val="000000"/>
                          <w:sz w:val="28"/>
                          <w:szCs w:val="28"/>
                        </w:rPr>
                        <w:t>續動態調整專家（諮詢與及評估）與參與模式，以提升評估品質與公信力</w:t>
                      </w:r>
                    </w:p>
                    <w:p w14:paraId="3F157382" w14:textId="3E4482C8" w:rsidR="00BA5F85" w:rsidRPr="00BA5F85" w:rsidRDefault="00BA5F85" w:rsidP="0043364F">
                      <w:pPr>
                        <w:pStyle w:val="a3"/>
                        <w:numPr>
                          <w:ilvl w:val="0"/>
                          <w:numId w:val="24"/>
                        </w:numPr>
                        <w:spacing w:line="440" w:lineRule="exact"/>
                        <w:ind w:leftChars="0"/>
                        <w:jc w:val="both"/>
                        <w:rPr>
                          <w:rFonts w:ascii="Times New Roman" w:eastAsia="標楷體" w:hAnsi="Times New Roman" w:cs="Times New Roman"/>
                          <w:color w:val="000000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eastAsia="標楷體" w:hAnsi="Times New Roman" w:cs="Times New Roman" w:hint="eastAsia"/>
                          <w:color w:val="000000"/>
                          <w:sz w:val="28"/>
                          <w:szCs w:val="28"/>
                        </w:rPr>
                        <w:t>逐步建立一致之成本效益與評估架構，並在制度一致性與個案（罕見疾病、嚴重重大疾病）彈性間取得平衡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1150959F" w14:textId="01B479A4" w:rsidR="003D7449" w:rsidRDefault="003D7449" w:rsidP="00180B50">
      <w:pPr>
        <w:spacing w:line="440" w:lineRule="exact"/>
        <w:jc w:val="both"/>
        <w:rPr>
          <w:rFonts w:ascii="Times New Roman" w:eastAsia="標楷體" w:hAnsi="Times New Roman" w:cs="Times New Roman" w:hint="eastAsia"/>
          <w:color w:val="000000"/>
          <w:sz w:val="28"/>
          <w:szCs w:val="28"/>
        </w:rPr>
      </w:pPr>
      <w:r w:rsidRPr="003D7449">
        <w:rPr>
          <w:rFonts w:ascii="Times New Roman" w:eastAsia="標楷體" w:hAnsi="Times New Roman" w:cs="Times New Roman" w:hint="eastAsia"/>
          <w:color w:val="000000"/>
          <w:sz w:val="28"/>
          <w:szCs w:val="28"/>
        </w:rPr>
        <w:t>我國健保藥品給付已依現行相關支付標準及作業規範辦理，對於「參考品之選定」具一定原則（如臨床使用現況、治療地位、適應症相近性及健保收載情形等），作為後續比較及評估基礎。為進一步提升效率與透明度，未來</w:t>
      </w:r>
      <w:r>
        <w:rPr>
          <w:rFonts w:ascii="Times New Roman" w:eastAsia="標楷體" w:hAnsi="Times New Roman" w:cs="Times New Roman" w:hint="eastAsia"/>
          <w:color w:val="000000"/>
          <w:sz w:val="28"/>
          <w:szCs w:val="28"/>
        </w:rPr>
        <w:t>可以持續</w:t>
      </w:r>
      <w:proofErr w:type="gramStart"/>
      <w:r>
        <w:rPr>
          <w:rFonts w:ascii="Times New Roman" w:eastAsia="標楷體" w:hAnsi="Times New Roman" w:cs="Times New Roman" w:hint="eastAsia"/>
          <w:color w:val="000000"/>
          <w:sz w:val="28"/>
          <w:szCs w:val="28"/>
        </w:rPr>
        <w:t>研議精</w:t>
      </w:r>
      <w:proofErr w:type="gramEnd"/>
      <w:r>
        <w:rPr>
          <w:rFonts w:ascii="Times New Roman" w:eastAsia="標楷體" w:hAnsi="Times New Roman" w:cs="Times New Roman" w:hint="eastAsia"/>
          <w:color w:val="000000"/>
          <w:sz w:val="28"/>
          <w:szCs w:val="28"/>
        </w:rPr>
        <w:t>進方式，例如建立前期對焦機制（</w:t>
      </w:r>
      <w:r>
        <w:rPr>
          <w:rFonts w:ascii="Times New Roman" w:eastAsia="標楷體" w:hAnsi="Times New Roman" w:cs="Times New Roman" w:hint="eastAsia"/>
          <w:color w:val="000000"/>
          <w:sz w:val="28"/>
          <w:szCs w:val="28"/>
        </w:rPr>
        <w:t>scoping</w:t>
      </w:r>
      <w:r>
        <w:rPr>
          <w:rFonts w:ascii="Times New Roman" w:eastAsia="標楷體" w:hAnsi="Times New Roman" w:cs="Times New Roman" w:hint="eastAsia"/>
          <w:color w:val="000000"/>
          <w:sz w:val="28"/>
          <w:szCs w:val="28"/>
        </w:rPr>
        <w:t>），建議廠商善加運用送件前之諮詢服務（</w:t>
      </w:r>
      <w:r>
        <w:rPr>
          <w:rFonts w:ascii="Times New Roman" w:eastAsia="標楷體" w:hAnsi="Times New Roman" w:cs="Times New Roman" w:hint="eastAsia"/>
          <w:color w:val="000000"/>
          <w:sz w:val="28"/>
          <w:szCs w:val="28"/>
        </w:rPr>
        <w:t>pre-submission consultation</w:t>
      </w:r>
      <w:r>
        <w:rPr>
          <w:rFonts w:ascii="Times New Roman" w:eastAsia="標楷體" w:hAnsi="Times New Roman" w:cs="Times New Roman" w:hint="eastAsia"/>
          <w:color w:val="000000"/>
          <w:sz w:val="28"/>
          <w:szCs w:val="28"/>
        </w:rPr>
        <w:t>），</w:t>
      </w:r>
      <w:r w:rsidRPr="003D7449">
        <w:rPr>
          <w:rFonts w:ascii="Times New Roman" w:eastAsia="標楷體" w:hAnsi="Times New Roman" w:cs="Times New Roman" w:hint="eastAsia"/>
          <w:color w:val="000000"/>
          <w:sz w:val="28"/>
          <w:szCs w:val="28"/>
        </w:rPr>
        <w:t>於正式提出申請前即就關鍵議題（如適應症範圍、臨床比較基準、資料需求及經濟評估方法）進行溝通與對焦，有助於提升資料準備之完整性與適切性，並減少評估過程中範圍調整之需求，兼顧作業效率與決策透明度</w:t>
      </w:r>
      <w:r>
        <w:rPr>
          <w:rFonts w:ascii="Times New Roman" w:eastAsia="標楷體" w:hAnsi="Times New Roman" w:cs="Times New Roman" w:hint="eastAsia"/>
          <w:color w:val="000000"/>
          <w:sz w:val="28"/>
          <w:szCs w:val="28"/>
        </w:rPr>
        <w:t>。</w:t>
      </w:r>
    </w:p>
    <w:p w14:paraId="66730982" w14:textId="77777777" w:rsidR="003D7449" w:rsidRPr="003D7449" w:rsidRDefault="003D7449" w:rsidP="00180B50">
      <w:pPr>
        <w:spacing w:line="440" w:lineRule="exact"/>
        <w:jc w:val="both"/>
        <w:rPr>
          <w:rFonts w:ascii="Times New Roman" w:eastAsia="標楷體" w:hAnsi="Times New Roman" w:cs="Times New Roman" w:hint="eastAsia"/>
          <w:color w:val="000000"/>
          <w:sz w:val="28"/>
          <w:szCs w:val="28"/>
        </w:rPr>
      </w:pPr>
    </w:p>
    <w:p w14:paraId="62DBF368" w14:textId="556C46ED" w:rsidR="00BA5F85" w:rsidRPr="00DF1EE8" w:rsidRDefault="00DF1EE8" w:rsidP="00180B50">
      <w:pPr>
        <w:spacing w:line="440" w:lineRule="exact"/>
        <w:jc w:val="both"/>
        <w:rPr>
          <w:rFonts w:ascii="Times New Roman" w:eastAsia="標楷體" w:hAnsi="Times New Roman" w:cs="Times New Roman"/>
          <w:color w:val="000000"/>
          <w:sz w:val="28"/>
          <w:szCs w:val="28"/>
          <w:shd w:val="pct15" w:color="auto" w:fill="FFFFFF"/>
        </w:rPr>
      </w:pPr>
      <w:proofErr w:type="gramStart"/>
      <w:r w:rsidRPr="00DF1EE8">
        <w:rPr>
          <w:rFonts w:ascii="Times New Roman" w:eastAsia="標楷體" w:hAnsi="Times New Roman" w:cs="Times New Roman" w:hint="eastAsia"/>
          <w:color w:val="000000"/>
          <w:sz w:val="28"/>
          <w:szCs w:val="28"/>
          <w:shd w:val="pct15" w:color="auto" w:fill="FFFFFF"/>
        </w:rPr>
        <w:t>本署說明</w:t>
      </w:r>
      <w:proofErr w:type="gramEnd"/>
      <w:r w:rsidRPr="00DF1EE8">
        <w:rPr>
          <w:rFonts w:ascii="Times New Roman" w:eastAsia="標楷體" w:hAnsi="Times New Roman" w:cs="Times New Roman" w:hint="eastAsia"/>
          <w:color w:val="000000"/>
          <w:sz w:val="28"/>
          <w:szCs w:val="28"/>
          <w:shd w:val="pct15" w:color="auto" w:fill="FFFFFF"/>
        </w:rPr>
        <w:t>2</w:t>
      </w:r>
      <w:r w:rsidRPr="00DF1EE8">
        <w:rPr>
          <w:rFonts w:ascii="Times New Roman" w:eastAsia="標楷體" w:hAnsi="Times New Roman" w:cs="Times New Roman" w:hint="eastAsia"/>
          <w:color w:val="000000"/>
          <w:sz w:val="28"/>
          <w:szCs w:val="28"/>
          <w:shd w:val="pct15" w:color="auto" w:fill="FFFFFF"/>
        </w:rPr>
        <w:t>：</w:t>
      </w:r>
    </w:p>
    <w:p w14:paraId="2D093613" w14:textId="7BD41B35" w:rsidR="00126474" w:rsidRDefault="003D7449" w:rsidP="00126474">
      <w:pPr>
        <w:spacing w:line="440" w:lineRule="exact"/>
        <w:contextualSpacing/>
        <w:jc w:val="both"/>
        <w:rPr>
          <w:rFonts w:ascii="Times New Roman" w:eastAsia="標楷體" w:hAnsi="Times New Roman" w:cs="Times New Roman"/>
          <w:color w:val="000000"/>
          <w:sz w:val="28"/>
          <w:szCs w:val="28"/>
        </w:rPr>
      </w:pPr>
      <w:r w:rsidRPr="003D7449">
        <w:rPr>
          <w:rFonts w:ascii="Times New Roman" w:eastAsia="標楷體" w:hAnsi="Times New Roman" w:cs="Times New Roman" w:hint="eastAsia"/>
          <w:color w:val="000000"/>
          <w:sz w:val="28"/>
          <w:szCs w:val="28"/>
        </w:rPr>
        <w:t>目前已透過跨領域專家諮詢會議及機動專家庫制度，涵蓋臨床、藥學、藥物經濟及公共衛生等領域，並依個案需求邀請適切專家參與，以確保專業性與多元觀點</w:t>
      </w:r>
      <w:r>
        <w:rPr>
          <w:rFonts w:ascii="Times New Roman" w:eastAsia="標楷體" w:hAnsi="Times New Roman" w:cs="Times New Roman" w:hint="eastAsia"/>
          <w:color w:val="000000"/>
          <w:sz w:val="28"/>
          <w:szCs w:val="28"/>
        </w:rPr>
        <w:t>，未來可持續朝以下方向精進：</w:t>
      </w:r>
    </w:p>
    <w:p w14:paraId="036580C6" w14:textId="5D7983C9" w:rsidR="003D7449" w:rsidRDefault="00485C81" w:rsidP="00485C81">
      <w:pPr>
        <w:pStyle w:val="a3"/>
        <w:numPr>
          <w:ilvl w:val="0"/>
          <w:numId w:val="46"/>
        </w:numPr>
        <w:spacing w:line="440" w:lineRule="exact"/>
        <w:ind w:leftChars="0"/>
        <w:contextualSpacing/>
        <w:jc w:val="both"/>
        <w:rPr>
          <w:rFonts w:ascii="Times New Roman" w:eastAsia="標楷體" w:hAnsi="Times New Roman" w:cs="Times New Roman"/>
          <w:color w:val="000000"/>
          <w:sz w:val="28"/>
          <w:szCs w:val="28"/>
        </w:rPr>
      </w:pPr>
      <w:r w:rsidRPr="00485C81">
        <w:rPr>
          <w:rFonts w:ascii="Times New Roman" w:eastAsia="標楷體" w:hAnsi="Times New Roman" w:cs="Times New Roman" w:hint="eastAsia"/>
          <w:color w:val="000000"/>
          <w:sz w:val="28"/>
          <w:szCs w:val="28"/>
        </w:rPr>
        <w:t>動態專家庫管理：持續擴充並滾動更新專家名單，強化新興領域（如基因治療、</w:t>
      </w:r>
      <w:r w:rsidRPr="00485C81">
        <w:rPr>
          <w:rFonts w:ascii="Times New Roman" w:eastAsia="標楷體" w:hAnsi="Times New Roman" w:cs="Times New Roman" w:hint="eastAsia"/>
          <w:color w:val="000000"/>
          <w:sz w:val="28"/>
          <w:szCs w:val="28"/>
        </w:rPr>
        <w:t>AI</w:t>
      </w:r>
      <w:r w:rsidRPr="00485C81">
        <w:rPr>
          <w:rFonts w:ascii="Times New Roman" w:eastAsia="標楷體" w:hAnsi="Times New Roman" w:cs="Times New Roman" w:hint="eastAsia"/>
          <w:color w:val="000000"/>
          <w:sz w:val="28"/>
          <w:szCs w:val="28"/>
        </w:rPr>
        <w:t>醫療等）之專業能量</w:t>
      </w:r>
      <w:r>
        <w:rPr>
          <w:rFonts w:ascii="Times New Roman" w:eastAsia="標楷體" w:hAnsi="Times New Roman" w:cs="Times New Roman" w:hint="eastAsia"/>
          <w:color w:val="000000"/>
          <w:sz w:val="28"/>
          <w:szCs w:val="28"/>
        </w:rPr>
        <w:t>。</w:t>
      </w:r>
    </w:p>
    <w:p w14:paraId="367B85C3" w14:textId="300FB349" w:rsidR="00485C81" w:rsidRDefault="00485C81" w:rsidP="00485C81">
      <w:pPr>
        <w:pStyle w:val="a3"/>
        <w:numPr>
          <w:ilvl w:val="0"/>
          <w:numId w:val="46"/>
        </w:numPr>
        <w:spacing w:line="440" w:lineRule="exact"/>
        <w:ind w:leftChars="0"/>
        <w:contextualSpacing/>
        <w:jc w:val="both"/>
        <w:rPr>
          <w:rFonts w:ascii="Times New Roman" w:eastAsia="標楷體" w:hAnsi="Times New Roman" w:cs="Times New Roman"/>
          <w:color w:val="000000"/>
          <w:sz w:val="28"/>
          <w:szCs w:val="28"/>
        </w:rPr>
      </w:pPr>
      <w:r w:rsidRPr="00485C81">
        <w:rPr>
          <w:rFonts w:ascii="Times New Roman" w:eastAsia="標楷體" w:hAnsi="Times New Roman" w:cs="Times New Roman" w:hint="eastAsia"/>
          <w:color w:val="000000"/>
          <w:sz w:val="28"/>
          <w:szCs w:val="28"/>
        </w:rPr>
        <w:t>差異化參與模式：依案件特性（如罕見疾病、創新療法）調整專家參與深度與形式（如專家諮詢、專案討論會）</w:t>
      </w:r>
      <w:r>
        <w:rPr>
          <w:rFonts w:ascii="Times New Roman" w:eastAsia="標楷體" w:hAnsi="Times New Roman" w:cs="Times New Roman" w:hint="eastAsia"/>
          <w:color w:val="000000"/>
          <w:sz w:val="28"/>
          <w:szCs w:val="28"/>
        </w:rPr>
        <w:t>。</w:t>
      </w:r>
    </w:p>
    <w:p w14:paraId="576713EF" w14:textId="32C12414" w:rsidR="00485C81" w:rsidRDefault="00485C81" w:rsidP="00485C81">
      <w:pPr>
        <w:pStyle w:val="a3"/>
        <w:numPr>
          <w:ilvl w:val="0"/>
          <w:numId w:val="46"/>
        </w:numPr>
        <w:spacing w:line="440" w:lineRule="exact"/>
        <w:ind w:leftChars="0"/>
        <w:contextualSpacing/>
        <w:jc w:val="both"/>
        <w:rPr>
          <w:rFonts w:ascii="Times New Roman" w:eastAsia="標楷體" w:hAnsi="Times New Roman" w:cs="Times New Roman"/>
          <w:color w:val="000000"/>
          <w:sz w:val="28"/>
          <w:szCs w:val="28"/>
        </w:rPr>
      </w:pPr>
      <w:r w:rsidRPr="00485C81">
        <w:rPr>
          <w:rFonts w:ascii="Times New Roman" w:eastAsia="標楷體" w:hAnsi="Times New Roman" w:cs="Times New Roman" w:hint="eastAsia"/>
          <w:color w:val="000000"/>
          <w:sz w:val="28"/>
          <w:szCs w:val="28"/>
        </w:rPr>
        <w:t>強化利益迴避與透明機制：持續精進利益揭露及迴避制度，確保專家意見之客觀性</w:t>
      </w:r>
      <w:r>
        <w:rPr>
          <w:rFonts w:ascii="Times New Roman" w:eastAsia="標楷體" w:hAnsi="Times New Roman" w:cs="Times New Roman" w:hint="eastAsia"/>
          <w:color w:val="000000"/>
          <w:sz w:val="28"/>
          <w:szCs w:val="28"/>
        </w:rPr>
        <w:t>。</w:t>
      </w:r>
    </w:p>
    <w:p w14:paraId="17FFADF3" w14:textId="77777777" w:rsidR="00485C81" w:rsidRPr="00485C81" w:rsidRDefault="00485C81" w:rsidP="00485C81">
      <w:pPr>
        <w:spacing w:line="440" w:lineRule="exact"/>
        <w:contextualSpacing/>
        <w:jc w:val="both"/>
        <w:rPr>
          <w:rFonts w:ascii="Times New Roman" w:eastAsia="標楷體" w:hAnsi="Times New Roman" w:cs="Times New Roman" w:hint="eastAsia"/>
          <w:color w:val="000000"/>
          <w:sz w:val="28"/>
          <w:szCs w:val="28"/>
        </w:rPr>
      </w:pPr>
    </w:p>
    <w:p w14:paraId="2D0E6268" w14:textId="11455CE3" w:rsidR="00DF1EE8" w:rsidRPr="00126474" w:rsidRDefault="00DF1EE8" w:rsidP="00126474">
      <w:pPr>
        <w:spacing w:line="440" w:lineRule="exact"/>
        <w:contextualSpacing/>
        <w:jc w:val="both"/>
        <w:rPr>
          <w:rFonts w:ascii="Times New Roman" w:eastAsia="標楷體" w:hAnsi="Times New Roman" w:cs="Times New Roman"/>
          <w:color w:val="000000"/>
          <w:sz w:val="28"/>
          <w:szCs w:val="28"/>
          <w:shd w:val="pct15" w:color="auto" w:fill="FFFFFF"/>
        </w:rPr>
      </w:pPr>
      <w:proofErr w:type="gramStart"/>
      <w:r w:rsidRPr="00126474">
        <w:rPr>
          <w:rFonts w:ascii="Times New Roman" w:eastAsia="標楷體" w:hAnsi="Times New Roman" w:cs="Times New Roman" w:hint="eastAsia"/>
          <w:color w:val="000000"/>
          <w:sz w:val="28"/>
          <w:szCs w:val="28"/>
          <w:shd w:val="pct15" w:color="auto" w:fill="FFFFFF"/>
        </w:rPr>
        <w:t>本署說明</w:t>
      </w:r>
      <w:proofErr w:type="gramEnd"/>
      <w:r w:rsidRPr="00126474">
        <w:rPr>
          <w:rFonts w:ascii="Times New Roman" w:eastAsia="標楷體" w:hAnsi="Times New Roman" w:cs="Times New Roman" w:hint="eastAsia"/>
          <w:color w:val="000000"/>
          <w:sz w:val="28"/>
          <w:szCs w:val="28"/>
          <w:shd w:val="pct15" w:color="auto" w:fill="FFFFFF"/>
        </w:rPr>
        <w:t>3</w:t>
      </w:r>
      <w:r w:rsidRPr="00126474">
        <w:rPr>
          <w:rFonts w:ascii="Times New Roman" w:eastAsia="標楷體" w:hAnsi="Times New Roman" w:cs="Times New Roman" w:hint="eastAsia"/>
          <w:color w:val="000000"/>
          <w:sz w:val="28"/>
          <w:szCs w:val="28"/>
          <w:shd w:val="pct15" w:color="auto" w:fill="FFFFFF"/>
        </w:rPr>
        <w:t>：</w:t>
      </w:r>
    </w:p>
    <w:p w14:paraId="53AE4CD1" w14:textId="24B1D9F1" w:rsidR="00DF1EE8" w:rsidRDefault="00485C81" w:rsidP="00DF1EE8">
      <w:pPr>
        <w:spacing w:line="440" w:lineRule="exact"/>
        <w:jc w:val="both"/>
        <w:rPr>
          <w:rFonts w:ascii="Times New Roman" w:eastAsia="標楷體" w:hAnsi="Times New Roman" w:cs="Times New Roman"/>
          <w:color w:val="000000"/>
          <w:sz w:val="28"/>
          <w:szCs w:val="28"/>
        </w:rPr>
      </w:pPr>
      <w:r w:rsidRPr="00485C81">
        <w:rPr>
          <w:rFonts w:ascii="Times New Roman" w:eastAsia="標楷體" w:hAnsi="Times New Roman" w:cs="Times New Roman" w:hint="eastAsia"/>
          <w:color w:val="000000"/>
          <w:sz w:val="28"/>
          <w:szCs w:val="28"/>
        </w:rPr>
        <w:t>我國目前已逐步導入成本效益分析（</w:t>
      </w:r>
      <w:r w:rsidRPr="00485C81">
        <w:rPr>
          <w:rFonts w:ascii="Times New Roman" w:eastAsia="標楷體" w:hAnsi="Times New Roman" w:cs="Times New Roman" w:hint="eastAsia"/>
          <w:color w:val="000000"/>
          <w:sz w:val="28"/>
          <w:szCs w:val="28"/>
        </w:rPr>
        <w:t>Cost-Effectiveness Analysis, CEA</w:t>
      </w:r>
      <w:r w:rsidRPr="00485C81">
        <w:rPr>
          <w:rFonts w:ascii="Times New Roman" w:eastAsia="標楷體" w:hAnsi="Times New Roman" w:cs="Times New Roman" w:hint="eastAsia"/>
          <w:color w:val="000000"/>
          <w:sz w:val="28"/>
          <w:szCs w:val="28"/>
        </w:rPr>
        <w:t>）及預算影響分析（</w:t>
      </w:r>
      <w:r w:rsidRPr="00485C81">
        <w:rPr>
          <w:rFonts w:ascii="Times New Roman" w:eastAsia="標楷體" w:hAnsi="Times New Roman" w:cs="Times New Roman" w:hint="eastAsia"/>
          <w:color w:val="000000"/>
          <w:sz w:val="28"/>
          <w:szCs w:val="28"/>
        </w:rPr>
        <w:t>Budget Impact Analysis, BIA</w:t>
      </w:r>
      <w:r w:rsidRPr="00485C81">
        <w:rPr>
          <w:rFonts w:ascii="Times New Roman" w:eastAsia="標楷體" w:hAnsi="Times New Roman" w:cs="Times New Roman" w:hint="eastAsia"/>
          <w:color w:val="000000"/>
          <w:sz w:val="28"/>
          <w:szCs w:val="28"/>
        </w:rPr>
        <w:t>），作為健保決策之重要參考依據</w:t>
      </w:r>
      <w:r w:rsidR="002D78BB" w:rsidRPr="002D78BB">
        <w:rPr>
          <w:rFonts w:ascii="Times New Roman" w:eastAsia="標楷體" w:hAnsi="Times New Roman" w:cs="Times New Roman" w:hint="eastAsia"/>
          <w:color w:val="000000"/>
          <w:sz w:val="28"/>
          <w:szCs w:val="28"/>
        </w:rPr>
        <w:t>，</w:t>
      </w:r>
      <w:r w:rsidR="002D78BB" w:rsidRPr="00485C81">
        <w:rPr>
          <w:rFonts w:ascii="Times New Roman" w:eastAsia="標楷體" w:hAnsi="Times New Roman" w:cs="Times New Roman" w:hint="eastAsia"/>
          <w:color w:val="000000"/>
          <w:sz w:val="28"/>
          <w:szCs w:val="28"/>
        </w:rPr>
        <w:t>部分高價藥品（如癌症用藥）要求廠商提出本土藥物經濟評估資料</w:t>
      </w:r>
      <w:r w:rsidRPr="00485C81">
        <w:rPr>
          <w:rFonts w:ascii="Times New Roman" w:eastAsia="標楷體" w:hAnsi="Times New Roman" w:cs="Times New Roman" w:hint="eastAsia"/>
          <w:color w:val="000000"/>
          <w:sz w:val="28"/>
          <w:szCs w:val="28"/>
        </w:rPr>
        <w:t>，</w:t>
      </w:r>
      <w:r w:rsidR="002D78BB">
        <w:rPr>
          <w:rFonts w:ascii="Times New Roman" w:eastAsia="標楷體" w:hAnsi="Times New Roman" w:cs="Times New Roman" w:hint="eastAsia"/>
          <w:color w:val="000000"/>
          <w:sz w:val="28"/>
          <w:szCs w:val="28"/>
        </w:rPr>
        <w:t>並</w:t>
      </w:r>
      <w:r w:rsidR="002D78BB" w:rsidRPr="002D78BB">
        <w:rPr>
          <w:rFonts w:ascii="Times New Roman" w:eastAsia="標楷體" w:hAnsi="Times New Roman" w:cs="Times New Roman" w:hint="eastAsia"/>
          <w:color w:val="000000"/>
          <w:sz w:val="28"/>
          <w:szCs w:val="28"/>
        </w:rPr>
        <w:t>陸續建立相關技術指引與作業規範，涵蓋經濟評估資料準備、分析方法（如</w:t>
      </w:r>
      <w:r w:rsidR="002D78BB" w:rsidRPr="002D78BB">
        <w:rPr>
          <w:rFonts w:ascii="Times New Roman" w:eastAsia="標楷體" w:hAnsi="Times New Roman" w:cs="Times New Roman" w:hint="eastAsia"/>
          <w:color w:val="000000"/>
          <w:sz w:val="28"/>
          <w:szCs w:val="28"/>
        </w:rPr>
        <w:t>CEA</w:t>
      </w:r>
      <w:r w:rsidR="002D78BB" w:rsidRPr="002D78BB">
        <w:rPr>
          <w:rFonts w:ascii="Times New Roman" w:eastAsia="標楷體" w:hAnsi="Times New Roman" w:cs="Times New Roman" w:hint="eastAsia"/>
          <w:color w:val="000000"/>
          <w:sz w:val="28"/>
          <w:szCs w:val="28"/>
        </w:rPr>
        <w:t>、</w:t>
      </w:r>
      <w:r w:rsidR="002D78BB" w:rsidRPr="002D78BB">
        <w:rPr>
          <w:rFonts w:ascii="Times New Roman" w:eastAsia="標楷體" w:hAnsi="Times New Roman" w:cs="Times New Roman" w:hint="eastAsia"/>
          <w:color w:val="000000"/>
          <w:sz w:val="28"/>
          <w:szCs w:val="28"/>
        </w:rPr>
        <w:t>CMA</w:t>
      </w:r>
      <w:r w:rsidR="002D78BB" w:rsidRPr="002D78BB">
        <w:rPr>
          <w:rFonts w:ascii="Times New Roman" w:eastAsia="標楷體" w:hAnsi="Times New Roman" w:cs="Times New Roman" w:hint="eastAsia"/>
          <w:color w:val="000000"/>
          <w:sz w:val="28"/>
          <w:szCs w:val="28"/>
        </w:rPr>
        <w:t>）及預算影響分析等，提供廠商與評估單位一致之</w:t>
      </w:r>
      <w:proofErr w:type="gramStart"/>
      <w:r w:rsidR="002D78BB" w:rsidRPr="002D78BB">
        <w:rPr>
          <w:rFonts w:ascii="Times New Roman" w:eastAsia="標楷體" w:hAnsi="Times New Roman" w:cs="Times New Roman" w:hint="eastAsia"/>
          <w:color w:val="000000"/>
          <w:sz w:val="28"/>
          <w:szCs w:val="28"/>
        </w:rPr>
        <w:t>方法學依循</w:t>
      </w:r>
      <w:proofErr w:type="gramEnd"/>
      <w:r>
        <w:rPr>
          <w:rFonts w:ascii="Times New Roman" w:eastAsia="標楷體" w:hAnsi="Times New Roman" w:cs="Times New Roman" w:hint="eastAsia"/>
          <w:color w:val="000000"/>
          <w:sz w:val="28"/>
          <w:szCs w:val="28"/>
        </w:rPr>
        <w:t>。未來的制度發展方向包含：</w:t>
      </w:r>
    </w:p>
    <w:p w14:paraId="33883A2E" w14:textId="65CF015E" w:rsidR="00485C81" w:rsidRDefault="00485C81" w:rsidP="00485C81">
      <w:pPr>
        <w:pStyle w:val="a3"/>
        <w:numPr>
          <w:ilvl w:val="0"/>
          <w:numId w:val="47"/>
        </w:numPr>
        <w:spacing w:line="440" w:lineRule="exact"/>
        <w:ind w:leftChars="0"/>
        <w:jc w:val="both"/>
        <w:rPr>
          <w:rFonts w:ascii="Times New Roman" w:eastAsia="標楷體" w:hAnsi="Times New Roman" w:cs="Times New Roman"/>
          <w:color w:val="000000"/>
          <w:sz w:val="28"/>
          <w:szCs w:val="28"/>
        </w:rPr>
      </w:pPr>
      <w:r>
        <w:rPr>
          <w:rFonts w:ascii="Times New Roman" w:eastAsia="標楷體" w:hAnsi="Times New Roman" w:cs="Times New Roman" w:hint="eastAsia"/>
          <w:color w:val="000000"/>
          <w:sz w:val="28"/>
          <w:szCs w:val="28"/>
        </w:rPr>
        <w:t>方法學一致化：</w:t>
      </w:r>
      <w:r w:rsidRPr="00485C81">
        <w:rPr>
          <w:rFonts w:ascii="Times New Roman" w:eastAsia="標楷體" w:hAnsi="Times New Roman" w:cs="Times New Roman" w:hint="eastAsia"/>
          <w:color w:val="000000"/>
          <w:sz w:val="28"/>
          <w:szCs w:val="28"/>
        </w:rPr>
        <w:t>逐步建立標準化之經濟評估指引（如分析視角、折現率、效用值來源等），提升評估結果之可比較性與一致性</w:t>
      </w:r>
      <w:r>
        <w:rPr>
          <w:rFonts w:ascii="Times New Roman" w:eastAsia="標楷體" w:hAnsi="Times New Roman" w:cs="Times New Roman" w:hint="eastAsia"/>
          <w:color w:val="000000"/>
          <w:sz w:val="28"/>
          <w:szCs w:val="28"/>
        </w:rPr>
        <w:t>。</w:t>
      </w:r>
    </w:p>
    <w:p w14:paraId="7A43A355" w14:textId="304A1633" w:rsidR="00485C81" w:rsidRDefault="00485C81" w:rsidP="00485C81">
      <w:pPr>
        <w:pStyle w:val="a3"/>
        <w:numPr>
          <w:ilvl w:val="0"/>
          <w:numId w:val="47"/>
        </w:numPr>
        <w:spacing w:line="440" w:lineRule="exact"/>
        <w:ind w:leftChars="0"/>
        <w:jc w:val="both"/>
        <w:rPr>
          <w:rFonts w:ascii="Times New Roman" w:eastAsia="標楷體" w:hAnsi="Times New Roman" w:cs="Times New Roman"/>
          <w:color w:val="000000"/>
          <w:sz w:val="28"/>
          <w:szCs w:val="28"/>
        </w:rPr>
      </w:pPr>
      <w:r w:rsidRPr="00485C81">
        <w:rPr>
          <w:rFonts w:ascii="Times New Roman" w:eastAsia="標楷體" w:hAnsi="Times New Roman" w:cs="Times New Roman" w:hint="eastAsia"/>
          <w:color w:val="000000"/>
          <w:sz w:val="28"/>
          <w:szCs w:val="28"/>
        </w:rPr>
        <w:t>決策框架透明化：強化成本效益結果於決策中的角色與應用原則說明</w:t>
      </w:r>
      <w:r>
        <w:rPr>
          <w:rFonts w:ascii="Times New Roman" w:eastAsia="標楷體" w:hAnsi="Times New Roman" w:cs="Times New Roman" w:hint="eastAsia"/>
          <w:color w:val="000000"/>
          <w:sz w:val="28"/>
          <w:szCs w:val="28"/>
        </w:rPr>
        <w:t>。</w:t>
      </w:r>
    </w:p>
    <w:p w14:paraId="0242787B" w14:textId="27D63ECD" w:rsidR="00485C81" w:rsidRDefault="00485C81" w:rsidP="00485C81">
      <w:pPr>
        <w:pStyle w:val="a3"/>
        <w:numPr>
          <w:ilvl w:val="0"/>
          <w:numId w:val="47"/>
        </w:numPr>
        <w:spacing w:line="440" w:lineRule="exact"/>
        <w:ind w:leftChars="0"/>
        <w:jc w:val="both"/>
        <w:rPr>
          <w:rFonts w:ascii="Times New Roman" w:eastAsia="標楷體" w:hAnsi="Times New Roman" w:cs="Times New Roman"/>
          <w:color w:val="000000"/>
          <w:sz w:val="28"/>
          <w:szCs w:val="28"/>
        </w:rPr>
      </w:pPr>
      <w:r>
        <w:rPr>
          <w:rFonts w:ascii="Times New Roman" w:eastAsia="標楷體" w:hAnsi="Times New Roman" w:cs="Times New Roman" w:hint="eastAsia"/>
          <w:color w:val="000000"/>
          <w:sz w:val="28"/>
          <w:szCs w:val="28"/>
        </w:rPr>
        <w:t>兼顧個案彈性：</w:t>
      </w:r>
      <w:r w:rsidRPr="00485C81">
        <w:rPr>
          <w:rFonts w:ascii="Times New Roman" w:eastAsia="標楷體" w:hAnsi="Times New Roman" w:cs="Times New Roman" w:hint="eastAsia"/>
          <w:color w:val="000000"/>
          <w:sz w:val="28"/>
          <w:szCs w:val="28"/>
        </w:rPr>
        <w:t>對於罕見疾病、重大疾病或高度未滿足醫療需求之案件，於制度內保留彈性</w:t>
      </w:r>
      <w:proofErr w:type="gramStart"/>
      <w:r w:rsidRPr="00485C81">
        <w:rPr>
          <w:rFonts w:ascii="Times New Roman" w:eastAsia="標楷體" w:hAnsi="Times New Roman" w:cs="Times New Roman" w:hint="eastAsia"/>
          <w:color w:val="000000"/>
          <w:sz w:val="28"/>
          <w:szCs w:val="28"/>
        </w:rPr>
        <w:t>（</w:t>
      </w:r>
      <w:proofErr w:type="gramEnd"/>
      <w:r w:rsidRPr="00485C81">
        <w:rPr>
          <w:rFonts w:ascii="Times New Roman" w:eastAsia="標楷體" w:hAnsi="Times New Roman" w:cs="Times New Roman" w:hint="eastAsia"/>
          <w:color w:val="000000"/>
          <w:sz w:val="28"/>
          <w:szCs w:val="28"/>
        </w:rPr>
        <w:t>如補充其他價值面向：疾病嚴重度、創新性、社會影響等</w:t>
      </w:r>
      <w:proofErr w:type="gramStart"/>
      <w:r w:rsidRPr="00485C81">
        <w:rPr>
          <w:rFonts w:ascii="Times New Roman" w:eastAsia="標楷體" w:hAnsi="Times New Roman" w:cs="Times New Roman" w:hint="eastAsia"/>
          <w:color w:val="000000"/>
          <w:sz w:val="28"/>
          <w:szCs w:val="28"/>
        </w:rPr>
        <w:t>）</w:t>
      </w:r>
      <w:proofErr w:type="gramEnd"/>
      <w:r>
        <w:rPr>
          <w:rFonts w:ascii="Times New Roman" w:eastAsia="標楷體" w:hAnsi="Times New Roman" w:cs="Times New Roman" w:hint="eastAsia"/>
          <w:color w:val="000000"/>
          <w:sz w:val="28"/>
          <w:szCs w:val="28"/>
        </w:rPr>
        <w:t>。</w:t>
      </w:r>
    </w:p>
    <w:p w14:paraId="5F1D7B01" w14:textId="3B6B7841" w:rsidR="00485C81" w:rsidRDefault="00485C81" w:rsidP="00485C81">
      <w:pPr>
        <w:pStyle w:val="a3"/>
        <w:numPr>
          <w:ilvl w:val="0"/>
          <w:numId w:val="47"/>
        </w:numPr>
        <w:spacing w:line="440" w:lineRule="exact"/>
        <w:ind w:leftChars="0"/>
        <w:jc w:val="both"/>
        <w:rPr>
          <w:rFonts w:ascii="Times New Roman" w:eastAsia="標楷體" w:hAnsi="Times New Roman" w:cs="Times New Roman"/>
          <w:color w:val="000000"/>
          <w:sz w:val="28"/>
          <w:szCs w:val="28"/>
        </w:rPr>
      </w:pPr>
      <w:r w:rsidRPr="00485C81">
        <w:rPr>
          <w:rFonts w:ascii="Times New Roman" w:eastAsia="標楷體" w:hAnsi="Times New Roman" w:cs="Times New Roman" w:hint="eastAsia"/>
          <w:color w:val="000000"/>
          <w:sz w:val="28"/>
          <w:szCs w:val="28"/>
        </w:rPr>
        <w:t>在「制度一致性」與「個案彈性」之間取得平衡，建立兼具科學性、公平性及政策可行性之評估與決策架構</w:t>
      </w:r>
      <w:r>
        <w:rPr>
          <w:rFonts w:ascii="Times New Roman" w:eastAsia="標楷體" w:hAnsi="Times New Roman" w:cs="Times New Roman" w:hint="eastAsia"/>
          <w:color w:val="000000"/>
          <w:sz w:val="28"/>
          <w:szCs w:val="28"/>
        </w:rPr>
        <w:t>。</w:t>
      </w:r>
    </w:p>
    <w:p w14:paraId="223A38EA" w14:textId="77777777" w:rsidR="00485C81" w:rsidRPr="00485C81" w:rsidRDefault="00485C81" w:rsidP="00485C81">
      <w:pPr>
        <w:spacing w:line="440" w:lineRule="exact"/>
        <w:jc w:val="both"/>
        <w:rPr>
          <w:rFonts w:ascii="Times New Roman" w:eastAsia="標楷體" w:hAnsi="Times New Roman" w:cs="Times New Roman" w:hint="eastAsia"/>
          <w:color w:val="000000"/>
          <w:sz w:val="28"/>
          <w:szCs w:val="28"/>
        </w:rPr>
      </w:pPr>
    </w:p>
    <w:p w14:paraId="58A82F58" w14:textId="0B316B56" w:rsidR="0092449C" w:rsidRPr="0092449C" w:rsidRDefault="0092449C" w:rsidP="0092449C">
      <w:pPr>
        <w:spacing w:line="440" w:lineRule="exact"/>
        <w:jc w:val="both"/>
        <w:rPr>
          <w:rFonts w:ascii="Times New Roman" w:eastAsia="標楷體" w:hAnsi="Times New Roman" w:cs="Times New Roman"/>
          <w:color w:val="000000"/>
          <w:sz w:val="28"/>
          <w:szCs w:val="28"/>
        </w:rPr>
      </w:pPr>
    </w:p>
    <w:sectPr w:rsidR="0092449C" w:rsidRPr="0092449C" w:rsidSect="0093769E">
      <w:footerReference w:type="default" r:id="rId8"/>
      <w:pgSz w:w="11900" w:h="16840"/>
      <w:pgMar w:top="1134" w:right="1418" w:bottom="1134" w:left="1418" w:header="851" w:footer="61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8DF991" w14:textId="77777777" w:rsidR="000A6038" w:rsidRDefault="000A6038" w:rsidP="0093769E">
      <w:r>
        <w:separator/>
      </w:r>
    </w:p>
  </w:endnote>
  <w:endnote w:type="continuationSeparator" w:id="0">
    <w:p w14:paraId="744454AE" w14:textId="77777777" w:rsidR="000A6038" w:rsidRDefault="000A6038" w:rsidP="009376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41116014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</w:rPr>
    </w:sdtEndPr>
    <w:sdtContent>
      <w:p w14:paraId="17787CD4" w14:textId="74953B2F" w:rsidR="0093769E" w:rsidRPr="00C60DE4" w:rsidRDefault="0093769E">
        <w:pPr>
          <w:pStyle w:val="a8"/>
          <w:jc w:val="center"/>
          <w:rPr>
            <w:rFonts w:ascii="Times New Roman" w:hAnsi="Times New Roman" w:cs="Times New Roman"/>
          </w:rPr>
        </w:pPr>
        <w:r w:rsidRPr="00C60DE4">
          <w:rPr>
            <w:rFonts w:ascii="Times New Roman" w:hAnsi="Times New Roman" w:cs="Times New Roman"/>
          </w:rPr>
          <w:fldChar w:fldCharType="begin"/>
        </w:r>
        <w:r w:rsidRPr="00C60DE4">
          <w:rPr>
            <w:rFonts w:ascii="Times New Roman" w:hAnsi="Times New Roman" w:cs="Times New Roman"/>
          </w:rPr>
          <w:instrText>PAGE   \* MERGEFORMAT</w:instrText>
        </w:r>
        <w:r w:rsidRPr="00C60DE4">
          <w:rPr>
            <w:rFonts w:ascii="Times New Roman" w:hAnsi="Times New Roman" w:cs="Times New Roman"/>
          </w:rPr>
          <w:fldChar w:fldCharType="separate"/>
        </w:r>
        <w:r w:rsidRPr="00C60DE4">
          <w:rPr>
            <w:rFonts w:ascii="Times New Roman" w:hAnsi="Times New Roman" w:cs="Times New Roman"/>
            <w:lang w:val="zh-TW"/>
          </w:rPr>
          <w:t>2</w:t>
        </w:r>
        <w:r w:rsidRPr="00C60DE4">
          <w:rPr>
            <w:rFonts w:ascii="Times New Roman" w:hAnsi="Times New Roman" w:cs="Times New Roman"/>
          </w:rPr>
          <w:fldChar w:fldCharType="end"/>
        </w:r>
      </w:p>
    </w:sdtContent>
  </w:sdt>
  <w:p w14:paraId="2CF109D2" w14:textId="77777777" w:rsidR="0093769E" w:rsidRDefault="0093769E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BDF00C" w14:textId="77777777" w:rsidR="000A6038" w:rsidRDefault="000A6038" w:rsidP="0093769E">
      <w:r>
        <w:separator/>
      </w:r>
    </w:p>
  </w:footnote>
  <w:footnote w:type="continuationSeparator" w:id="0">
    <w:p w14:paraId="3D8B3731" w14:textId="77777777" w:rsidR="000A6038" w:rsidRDefault="000A6038" w:rsidP="0093769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616160"/>
    <w:multiLevelType w:val="hybridMultilevel"/>
    <w:tmpl w:val="D584AF70"/>
    <w:lvl w:ilvl="0" w:tplc="EEBE98A6">
      <w:start w:val="1"/>
      <w:numFmt w:val="ideographLegalTraditional"/>
      <w:lvlText w:val="%1、"/>
      <w:lvlJc w:val="left"/>
      <w:pPr>
        <w:ind w:left="720" w:hanging="720"/>
      </w:pPr>
      <w:rPr>
        <w:rFonts w:hint="default"/>
        <w:b/>
        <w:bCs/>
        <w:sz w:val="32"/>
        <w:szCs w:val="32"/>
      </w:rPr>
    </w:lvl>
    <w:lvl w:ilvl="1" w:tplc="A1B084BA">
      <w:start w:val="1"/>
      <w:numFmt w:val="taiwaneseCountingThousand"/>
      <w:suff w:val="space"/>
      <w:lvlText w:val="%2、"/>
      <w:lvlJc w:val="left"/>
      <w:pPr>
        <w:ind w:left="680" w:hanging="200"/>
      </w:pPr>
      <w:rPr>
        <w:rFonts w:hint="eastAsia"/>
      </w:r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7A212B6"/>
    <w:multiLevelType w:val="hybridMultilevel"/>
    <w:tmpl w:val="8F202490"/>
    <w:lvl w:ilvl="0" w:tplc="A9FCC49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8C92EA4"/>
    <w:multiLevelType w:val="hybridMultilevel"/>
    <w:tmpl w:val="7F926A82"/>
    <w:lvl w:ilvl="0" w:tplc="78606E28">
      <w:start w:val="1"/>
      <w:numFmt w:val="decimal"/>
      <w:lvlText w:val="%1."/>
      <w:lvlJc w:val="left"/>
      <w:pPr>
        <w:ind w:left="480" w:hanging="480"/>
      </w:pPr>
      <w:rPr>
        <w:rFonts w:ascii="Times New Roman" w:eastAsia="標楷體" w:hAnsi="Times New Roman" w:cs="Times New Roman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095D6D13"/>
    <w:multiLevelType w:val="hybridMultilevel"/>
    <w:tmpl w:val="A4969950"/>
    <w:lvl w:ilvl="0" w:tplc="081ED68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0B6B47C5"/>
    <w:multiLevelType w:val="hybridMultilevel"/>
    <w:tmpl w:val="13005326"/>
    <w:lvl w:ilvl="0" w:tplc="A7E2FCCA">
      <w:start w:val="1"/>
      <w:numFmt w:val="decimal"/>
      <w:lvlText w:val="(%1)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0B724EB7"/>
    <w:multiLevelType w:val="hybridMultilevel"/>
    <w:tmpl w:val="C108E200"/>
    <w:lvl w:ilvl="0" w:tplc="CDD27914">
      <w:start w:val="1"/>
      <w:numFmt w:val="decimal"/>
      <w:lvlText w:val="(%1)"/>
      <w:lvlJc w:val="left"/>
      <w:pPr>
        <w:ind w:left="360" w:hanging="360"/>
      </w:pPr>
      <w:rPr>
        <w:rFonts w:ascii="Times New Roman" w:eastAsia="標楷體" w:hAnsi="Times New Roman" w:cs="Times New Roman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0D692CA6"/>
    <w:multiLevelType w:val="hybridMultilevel"/>
    <w:tmpl w:val="FFE45E62"/>
    <w:lvl w:ilvl="0" w:tplc="B0D42D9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0E2842C1"/>
    <w:multiLevelType w:val="hybridMultilevel"/>
    <w:tmpl w:val="4808D2F6"/>
    <w:lvl w:ilvl="0" w:tplc="41F02896">
      <w:start w:val="1"/>
      <w:numFmt w:val="bullet"/>
      <w:lvlText w:val="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8" w15:restartNumberingAfterBreak="0">
    <w:nsid w:val="10054BEA"/>
    <w:multiLevelType w:val="hybridMultilevel"/>
    <w:tmpl w:val="893056AC"/>
    <w:lvl w:ilvl="0" w:tplc="74123EA8">
      <w:start w:val="1"/>
      <w:numFmt w:val="decimal"/>
      <w:lvlText w:val="(%1)"/>
      <w:lvlJc w:val="left"/>
      <w:pPr>
        <w:ind w:left="480" w:hanging="480"/>
      </w:pPr>
      <w:rPr>
        <w:b w:val="0"/>
        <w:bCs w:val="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10A77FF3"/>
    <w:multiLevelType w:val="hybridMultilevel"/>
    <w:tmpl w:val="37BECC3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upperLetter"/>
      <w:lvlText w:val="%2."/>
      <w:lvlJc w:val="left"/>
      <w:pPr>
        <w:ind w:left="960" w:hanging="480"/>
      </w:pPr>
    </w:lvl>
    <w:lvl w:ilvl="2" w:tplc="FFFFFFFF">
      <w:start w:val="1"/>
      <w:numFmt w:val="lowerLetter"/>
      <w:lvlText w:val="%3."/>
      <w:lvlJc w:val="left"/>
      <w:pPr>
        <w:ind w:left="1440" w:hanging="480"/>
      </w:pPr>
      <w:rPr>
        <w:rFonts w:hint="eastAsia"/>
      </w:rPr>
    </w:lvl>
    <w:lvl w:ilvl="3" w:tplc="FFFFFFFF">
      <w:start w:val="1"/>
      <w:numFmt w:val="upperRoman"/>
      <w:lvlText w:val="%4."/>
      <w:lvlJc w:val="left"/>
      <w:pPr>
        <w:ind w:left="1920" w:hanging="480"/>
      </w:pPr>
    </w:lvl>
    <w:lvl w:ilvl="4" w:tplc="FFFFFFFF">
      <w:start w:val="1"/>
      <w:numFmt w:val="lowerRoman"/>
      <w:lvlText w:val="%5."/>
      <w:lvlJc w:val="right"/>
      <w:pPr>
        <w:ind w:left="2400" w:hanging="480"/>
      </w:pPr>
    </w:lvl>
    <w:lvl w:ilvl="5" w:tplc="FFFFFFFF">
      <w:start w:val="1"/>
      <w:numFmt w:val="decimal"/>
      <w:lvlText w:val="%6."/>
      <w:lvlJc w:val="left"/>
      <w:pPr>
        <w:ind w:left="2760" w:hanging="360"/>
      </w:pPr>
      <w:rPr>
        <w:rFonts w:hint="default"/>
      </w:r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11F05C0C"/>
    <w:multiLevelType w:val="hybridMultilevel"/>
    <w:tmpl w:val="629C6F90"/>
    <w:lvl w:ilvl="0" w:tplc="D3FA9F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1390405D"/>
    <w:multiLevelType w:val="hybridMultilevel"/>
    <w:tmpl w:val="56489CFA"/>
    <w:lvl w:ilvl="0" w:tplc="C8028C62">
      <w:start w:val="1"/>
      <w:numFmt w:val="decimal"/>
      <w:lvlText w:val="(%1)"/>
      <w:lvlJc w:val="left"/>
      <w:pPr>
        <w:ind w:left="480" w:hanging="480"/>
      </w:pPr>
      <w:rPr>
        <w:rFonts w:hint="default"/>
        <w:b w:val="0"/>
        <w:bCs w:val="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160025B5"/>
    <w:multiLevelType w:val="hybridMultilevel"/>
    <w:tmpl w:val="8F7C1E82"/>
    <w:lvl w:ilvl="0" w:tplc="A7E2FCCA">
      <w:start w:val="1"/>
      <w:numFmt w:val="decimal"/>
      <w:lvlText w:val="(%1)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1EBE0BD0"/>
    <w:multiLevelType w:val="hybridMultilevel"/>
    <w:tmpl w:val="9E521AB6"/>
    <w:lvl w:ilvl="0" w:tplc="A7E2FCCA">
      <w:start w:val="1"/>
      <w:numFmt w:val="decimal"/>
      <w:lvlText w:val="(%1)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22D74BAB"/>
    <w:multiLevelType w:val="hybridMultilevel"/>
    <w:tmpl w:val="356850C4"/>
    <w:lvl w:ilvl="0" w:tplc="A7E2FCCA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232A2C85"/>
    <w:multiLevelType w:val="hybridMultilevel"/>
    <w:tmpl w:val="D4D48448"/>
    <w:lvl w:ilvl="0" w:tplc="A7E2FCCA">
      <w:start w:val="1"/>
      <w:numFmt w:val="decimal"/>
      <w:lvlText w:val="(%1)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26500D5A"/>
    <w:multiLevelType w:val="hybridMultilevel"/>
    <w:tmpl w:val="141E1992"/>
    <w:lvl w:ilvl="0" w:tplc="41F02896">
      <w:start w:val="1"/>
      <w:numFmt w:val="bullet"/>
      <w:lvlText w:val="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7" w15:restartNumberingAfterBreak="0">
    <w:nsid w:val="290E2B01"/>
    <w:multiLevelType w:val="hybridMultilevel"/>
    <w:tmpl w:val="20C6BBB6"/>
    <w:lvl w:ilvl="0" w:tplc="41F02896">
      <w:start w:val="1"/>
      <w:numFmt w:val="bullet"/>
      <w:lvlText w:val="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8" w15:restartNumberingAfterBreak="0">
    <w:nsid w:val="2E81418D"/>
    <w:multiLevelType w:val="hybridMultilevel"/>
    <w:tmpl w:val="DD40A510"/>
    <w:lvl w:ilvl="0" w:tplc="A7E2FCCA">
      <w:start w:val="1"/>
      <w:numFmt w:val="decimal"/>
      <w:lvlText w:val="(%1)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2F2314E6"/>
    <w:multiLevelType w:val="hybridMultilevel"/>
    <w:tmpl w:val="4AA87EA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1320" w:hanging="480"/>
      </w:pPr>
    </w:lvl>
    <w:lvl w:ilvl="2" w:tplc="FFFFFFFF" w:tentative="1">
      <w:start w:val="1"/>
      <w:numFmt w:val="lowerRoman"/>
      <w:lvlText w:val="%3."/>
      <w:lvlJc w:val="right"/>
      <w:pPr>
        <w:ind w:left="1800" w:hanging="480"/>
      </w:pPr>
    </w:lvl>
    <w:lvl w:ilvl="3" w:tplc="FFFFFFFF" w:tentative="1">
      <w:start w:val="1"/>
      <w:numFmt w:val="decimal"/>
      <w:lvlText w:val="%4."/>
      <w:lvlJc w:val="left"/>
      <w:pPr>
        <w:ind w:left="228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760" w:hanging="480"/>
      </w:pPr>
    </w:lvl>
    <w:lvl w:ilvl="5" w:tplc="FFFFFFFF" w:tentative="1">
      <w:start w:val="1"/>
      <w:numFmt w:val="lowerRoman"/>
      <w:lvlText w:val="%6."/>
      <w:lvlJc w:val="right"/>
      <w:pPr>
        <w:ind w:left="3240" w:hanging="480"/>
      </w:pPr>
    </w:lvl>
    <w:lvl w:ilvl="6" w:tplc="FFFFFFFF" w:tentative="1">
      <w:start w:val="1"/>
      <w:numFmt w:val="decimal"/>
      <w:lvlText w:val="%7."/>
      <w:lvlJc w:val="left"/>
      <w:pPr>
        <w:ind w:left="372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200" w:hanging="480"/>
      </w:pPr>
    </w:lvl>
    <w:lvl w:ilvl="8" w:tplc="FFFFFFFF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20" w15:restartNumberingAfterBreak="0">
    <w:nsid w:val="3322604B"/>
    <w:multiLevelType w:val="hybridMultilevel"/>
    <w:tmpl w:val="C93A5C82"/>
    <w:lvl w:ilvl="0" w:tplc="A746D9CE">
      <w:start w:val="1"/>
      <w:numFmt w:val="decimal"/>
      <w:lvlText w:val="(%1)"/>
      <w:lvlJc w:val="left"/>
      <w:pPr>
        <w:ind w:left="84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21" w15:restartNumberingAfterBreak="0">
    <w:nsid w:val="33F15CD8"/>
    <w:multiLevelType w:val="hybridMultilevel"/>
    <w:tmpl w:val="37A62DB0"/>
    <w:lvl w:ilvl="0" w:tplc="A7E2FCCA">
      <w:start w:val="1"/>
      <w:numFmt w:val="decimal"/>
      <w:lvlText w:val="(%1)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3B0D2925"/>
    <w:multiLevelType w:val="hybridMultilevel"/>
    <w:tmpl w:val="6C602436"/>
    <w:lvl w:ilvl="0" w:tplc="85F477E0">
      <w:start w:val="1"/>
      <w:numFmt w:val="decimal"/>
      <w:lvlText w:val="%1."/>
      <w:lvlJc w:val="left"/>
      <w:pPr>
        <w:ind w:left="720" w:hanging="360"/>
      </w:pPr>
      <w:rPr>
        <w:rFonts w:ascii="Times New Roman" w:eastAsia="標楷體" w:hAnsi="Times New Roman" w:cs="Times New Roman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23" w15:restartNumberingAfterBreak="0">
    <w:nsid w:val="3B574536"/>
    <w:multiLevelType w:val="hybridMultilevel"/>
    <w:tmpl w:val="B782AD04"/>
    <w:lvl w:ilvl="0" w:tplc="41F02896">
      <w:start w:val="1"/>
      <w:numFmt w:val="bullet"/>
      <w:lvlText w:val="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4" w15:restartNumberingAfterBreak="0">
    <w:nsid w:val="3D022A69"/>
    <w:multiLevelType w:val="hybridMultilevel"/>
    <w:tmpl w:val="52642F3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 w15:restartNumberingAfterBreak="0">
    <w:nsid w:val="41FE6004"/>
    <w:multiLevelType w:val="hybridMultilevel"/>
    <w:tmpl w:val="7F926A82"/>
    <w:lvl w:ilvl="0" w:tplc="FFFFFFFF">
      <w:start w:val="1"/>
      <w:numFmt w:val="decimal"/>
      <w:lvlText w:val="%1."/>
      <w:lvlJc w:val="left"/>
      <w:pPr>
        <w:ind w:left="480" w:hanging="480"/>
      </w:pPr>
      <w:rPr>
        <w:rFonts w:ascii="Times New Roman" w:eastAsia="標楷體" w:hAnsi="Times New Roman" w:cs="Times New Roman"/>
      </w:rPr>
    </w:lvl>
    <w:lvl w:ilvl="1" w:tplc="FFFFFFFF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6" w15:restartNumberingAfterBreak="0">
    <w:nsid w:val="463053E0"/>
    <w:multiLevelType w:val="hybridMultilevel"/>
    <w:tmpl w:val="E4E492CC"/>
    <w:lvl w:ilvl="0" w:tplc="D564D6B6">
      <w:start w:val="1"/>
      <w:numFmt w:val="decimal"/>
      <w:lvlText w:val="(%1)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360" w:hanging="480"/>
      </w:pPr>
    </w:lvl>
    <w:lvl w:ilvl="2" w:tplc="0409001B" w:tentative="1">
      <w:start w:val="1"/>
      <w:numFmt w:val="lowerRoman"/>
      <w:lvlText w:val="%3."/>
      <w:lvlJc w:val="right"/>
      <w:pPr>
        <w:ind w:left="840" w:hanging="480"/>
      </w:pPr>
    </w:lvl>
    <w:lvl w:ilvl="3" w:tplc="0409000F" w:tentative="1">
      <w:start w:val="1"/>
      <w:numFmt w:val="decimal"/>
      <w:lvlText w:val="%4."/>
      <w:lvlJc w:val="left"/>
      <w:pPr>
        <w:ind w:left="13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1800" w:hanging="480"/>
      </w:pPr>
    </w:lvl>
    <w:lvl w:ilvl="5" w:tplc="0409001B" w:tentative="1">
      <w:start w:val="1"/>
      <w:numFmt w:val="lowerRoman"/>
      <w:lvlText w:val="%6."/>
      <w:lvlJc w:val="right"/>
      <w:pPr>
        <w:ind w:left="2280" w:hanging="480"/>
      </w:pPr>
    </w:lvl>
    <w:lvl w:ilvl="6" w:tplc="0409000F" w:tentative="1">
      <w:start w:val="1"/>
      <w:numFmt w:val="decimal"/>
      <w:lvlText w:val="%7."/>
      <w:lvlJc w:val="left"/>
      <w:pPr>
        <w:ind w:left="27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240" w:hanging="480"/>
      </w:pPr>
    </w:lvl>
    <w:lvl w:ilvl="8" w:tplc="0409001B" w:tentative="1">
      <w:start w:val="1"/>
      <w:numFmt w:val="lowerRoman"/>
      <w:lvlText w:val="%9."/>
      <w:lvlJc w:val="right"/>
      <w:pPr>
        <w:ind w:left="3720" w:hanging="480"/>
      </w:pPr>
    </w:lvl>
  </w:abstractNum>
  <w:abstractNum w:abstractNumId="27" w15:restartNumberingAfterBreak="0">
    <w:nsid w:val="46376AC6"/>
    <w:multiLevelType w:val="multilevel"/>
    <w:tmpl w:val="DDA48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AD63E24"/>
    <w:multiLevelType w:val="hybridMultilevel"/>
    <w:tmpl w:val="87FC5BBE"/>
    <w:lvl w:ilvl="0" w:tplc="A3EAE61E">
      <w:start w:val="1"/>
      <w:numFmt w:val="decimal"/>
      <w:lvlText w:val="(%1)"/>
      <w:lvlJc w:val="left"/>
      <w:pPr>
        <w:ind w:left="495" w:hanging="360"/>
      </w:pPr>
      <w:rPr>
        <w:rFonts w:hint="default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1095" w:hanging="480"/>
      </w:pPr>
    </w:lvl>
    <w:lvl w:ilvl="2" w:tplc="0409001B" w:tentative="1">
      <w:start w:val="1"/>
      <w:numFmt w:val="lowerRoman"/>
      <w:lvlText w:val="%3."/>
      <w:lvlJc w:val="right"/>
      <w:pPr>
        <w:ind w:left="1575" w:hanging="480"/>
      </w:pPr>
    </w:lvl>
    <w:lvl w:ilvl="3" w:tplc="0409000F" w:tentative="1">
      <w:start w:val="1"/>
      <w:numFmt w:val="decimal"/>
      <w:lvlText w:val="%4."/>
      <w:lvlJc w:val="left"/>
      <w:pPr>
        <w:ind w:left="205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535" w:hanging="480"/>
      </w:pPr>
    </w:lvl>
    <w:lvl w:ilvl="5" w:tplc="0409001B" w:tentative="1">
      <w:start w:val="1"/>
      <w:numFmt w:val="lowerRoman"/>
      <w:lvlText w:val="%6."/>
      <w:lvlJc w:val="right"/>
      <w:pPr>
        <w:ind w:left="3015" w:hanging="480"/>
      </w:pPr>
    </w:lvl>
    <w:lvl w:ilvl="6" w:tplc="0409000F" w:tentative="1">
      <w:start w:val="1"/>
      <w:numFmt w:val="decimal"/>
      <w:lvlText w:val="%7."/>
      <w:lvlJc w:val="left"/>
      <w:pPr>
        <w:ind w:left="349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975" w:hanging="480"/>
      </w:pPr>
    </w:lvl>
    <w:lvl w:ilvl="8" w:tplc="0409001B" w:tentative="1">
      <w:start w:val="1"/>
      <w:numFmt w:val="lowerRoman"/>
      <w:lvlText w:val="%9."/>
      <w:lvlJc w:val="right"/>
      <w:pPr>
        <w:ind w:left="4455" w:hanging="480"/>
      </w:pPr>
    </w:lvl>
  </w:abstractNum>
  <w:abstractNum w:abstractNumId="29" w15:restartNumberingAfterBreak="0">
    <w:nsid w:val="531F2123"/>
    <w:multiLevelType w:val="hybridMultilevel"/>
    <w:tmpl w:val="C6AAE0F0"/>
    <w:lvl w:ilvl="0" w:tplc="4790D10E">
      <w:start w:val="1"/>
      <w:numFmt w:val="decimal"/>
      <w:lvlText w:val="(%1)"/>
      <w:lvlJc w:val="left"/>
      <w:pPr>
        <w:ind w:left="6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240" w:hanging="480"/>
      </w:pPr>
    </w:lvl>
    <w:lvl w:ilvl="2" w:tplc="0409001B" w:tentative="1">
      <w:start w:val="1"/>
      <w:numFmt w:val="lowerRoman"/>
      <w:lvlText w:val="%3."/>
      <w:lvlJc w:val="right"/>
      <w:pPr>
        <w:ind w:left="1720" w:hanging="480"/>
      </w:pPr>
    </w:lvl>
    <w:lvl w:ilvl="3" w:tplc="0409000F" w:tentative="1">
      <w:start w:val="1"/>
      <w:numFmt w:val="decimal"/>
      <w:lvlText w:val="%4."/>
      <w:lvlJc w:val="left"/>
      <w:pPr>
        <w:ind w:left="22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80" w:hanging="480"/>
      </w:pPr>
    </w:lvl>
    <w:lvl w:ilvl="5" w:tplc="0409001B" w:tentative="1">
      <w:start w:val="1"/>
      <w:numFmt w:val="lowerRoman"/>
      <w:lvlText w:val="%6."/>
      <w:lvlJc w:val="right"/>
      <w:pPr>
        <w:ind w:left="3160" w:hanging="480"/>
      </w:pPr>
    </w:lvl>
    <w:lvl w:ilvl="6" w:tplc="0409000F" w:tentative="1">
      <w:start w:val="1"/>
      <w:numFmt w:val="decimal"/>
      <w:lvlText w:val="%7."/>
      <w:lvlJc w:val="left"/>
      <w:pPr>
        <w:ind w:left="36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20" w:hanging="480"/>
      </w:pPr>
    </w:lvl>
    <w:lvl w:ilvl="8" w:tplc="0409001B" w:tentative="1">
      <w:start w:val="1"/>
      <w:numFmt w:val="lowerRoman"/>
      <w:lvlText w:val="%9."/>
      <w:lvlJc w:val="right"/>
      <w:pPr>
        <w:ind w:left="4600" w:hanging="480"/>
      </w:pPr>
    </w:lvl>
  </w:abstractNum>
  <w:abstractNum w:abstractNumId="30" w15:restartNumberingAfterBreak="0">
    <w:nsid w:val="57837442"/>
    <w:multiLevelType w:val="hybridMultilevel"/>
    <w:tmpl w:val="C8EA4784"/>
    <w:lvl w:ilvl="0" w:tplc="41F02896">
      <w:start w:val="1"/>
      <w:numFmt w:val="bullet"/>
      <w:lvlText w:val="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1" w15:restartNumberingAfterBreak="0">
    <w:nsid w:val="5A9C4C07"/>
    <w:multiLevelType w:val="hybridMultilevel"/>
    <w:tmpl w:val="F7A03CA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2" w15:restartNumberingAfterBreak="0">
    <w:nsid w:val="5C9B75BE"/>
    <w:multiLevelType w:val="hybridMultilevel"/>
    <w:tmpl w:val="D4D48448"/>
    <w:lvl w:ilvl="0" w:tplc="FFFFFFFF">
      <w:start w:val="1"/>
      <w:numFmt w:val="decimal"/>
      <w:lvlText w:val="(%1)"/>
      <w:lvlJc w:val="left"/>
      <w:pPr>
        <w:ind w:left="480" w:hanging="480"/>
      </w:pPr>
    </w:lvl>
    <w:lvl w:ilvl="1" w:tplc="FFFFFFFF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3" w15:restartNumberingAfterBreak="0">
    <w:nsid w:val="61F1382C"/>
    <w:multiLevelType w:val="hybridMultilevel"/>
    <w:tmpl w:val="B290F37E"/>
    <w:lvl w:ilvl="0" w:tplc="04090015">
      <w:start w:val="1"/>
      <w:numFmt w:val="taiwaneseCountingThousand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4" w15:restartNumberingAfterBreak="0">
    <w:nsid w:val="625074F5"/>
    <w:multiLevelType w:val="hybridMultilevel"/>
    <w:tmpl w:val="6DB095EA"/>
    <w:lvl w:ilvl="0" w:tplc="A746D9CE">
      <w:start w:val="1"/>
      <w:numFmt w:val="decimal"/>
      <w:lvlText w:val="(%1)"/>
      <w:lvlJc w:val="left"/>
      <w:pPr>
        <w:ind w:left="10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60" w:hanging="480"/>
      </w:pPr>
    </w:lvl>
    <w:lvl w:ilvl="2" w:tplc="0409001B" w:tentative="1">
      <w:start w:val="1"/>
      <w:numFmt w:val="lowerRoman"/>
      <w:lvlText w:val="%3."/>
      <w:lvlJc w:val="right"/>
      <w:pPr>
        <w:ind w:left="2040" w:hanging="480"/>
      </w:pPr>
    </w:lvl>
    <w:lvl w:ilvl="3" w:tplc="0409000F" w:tentative="1">
      <w:start w:val="1"/>
      <w:numFmt w:val="decimal"/>
      <w:lvlText w:val="%4."/>
      <w:lvlJc w:val="left"/>
      <w:pPr>
        <w:ind w:left="25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000" w:hanging="480"/>
      </w:pPr>
    </w:lvl>
    <w:lvl w:ilvl="5" w:tplc="0409001B" w:tentative="1">
      <w:start w:val="1"/>
      <w:numFmt w:val="lowerRoman"/>
      <w:lvlText w:val="%6."/>
      <w:lvlJc w:val="right"/>
      <w:pPr>
        <w:ind w:left="3480" w:hanging="480"/>
      </w:pPr>
    </w:lvl>
    <w:lvl w:ilvl="6" w:tplc="0409000F" w:tentative="1">
      <w:start w:val="1"/>
      <w:numFmt w:val="decimal"/>
      <w:lvlText w:val="%7."/>
      <w:lvlJc w:val="left"/>
      <w:pPr>
        <w:ind w:left="39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40" w:hanging="480"/>
      </w:pPr>
    </w:lvl>
    <w:lvl w:ilvl="8" w:tplc="0409001B" w:tentative="1">
      <w:start w:val="1"/>
      <w:numFmt w:val="lowerRoman"/>
      <w:lvlText w:val="%9."/>
      <w:lvlJc w:val="right"/>
      <w:pPr>
        <w:ind w:left="4920" w:hanging="480"/>
      </w:pPr>
    </w:lvl>
  </w:abstractNum>
  <w:abstractNum w:abstractNumId="35" w15:restartNumberingAfterBreak="0">
    <w:nsid w:val="6688326E"/>
    <w:multiLevelType w:val="hybridMultilevel"/>
    <w:tmpl w:val="7DEC58D2"/>
    <w:lvl w:ilvl="0" w:tplc="1B32C74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6" w15:restartNumberingAfterBreak="0">
    <w:nsid w:val="66911E43"/>
    <w:multiLevelType w:val="hybridMultilevel"/>
    <w:tmpl w:val="F3BC2484"/>
    <w:lvl w:ilvl="0" w:tplc="3020ADB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7" w15:restartNumberingAfterBreak="0">
    <w:nsid w:val="67254948"/>
    <w:multiLevelType w:val="hybridMultilevel"/>
    <w:tmpl w:val="2A54512E"/>
    <w:lvl w:ilvl="0" w:tplc="BE6493B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8" w15:restartNumberingAfterBreak="0">
    <w:nsid w:val="6A883533"/>
    <w:multiLevelType w:val="hybridMultilevel"/>
    <w:tmpl w:val="0EBCA7AE"/>
    <w:lvl w:ilvl="0" w:tplc="FFACEE42">
      <w:start w:val="1"/>
      <w:numFmt w:val="decimal"/>
      <w:lvlText w:val="(%1)"/>
      <w:lvlJc w:val="left"/>
      <w:pPr>
        <w:ind w:left="495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095" w:hanging="480"/>
      </w:pPr>
    </w:lvl>
    <w:lvl w:ilvl="2" w:tplc="0409001B" w:tentative="1">
      <w:start w:val="1"/>
      <w:numFmt w:val="lowerRoman"/>
      <w:lvlText w:val="%3."/>
      <w:lvlJc w:val="right"/>
      <w:pPr>
        <w:ind w:left="1575" w:hanging="480"/>
      </w:pPr>
    </w:lvl>
    <w:lvl w:ilvl="3" w:tplc="0409000F" w:tentative="1">
      <w:start w:val="1"/>
      <w:numFmt w:val="decimal"/>
      <w:lvlText w:val="%4."/>
      <w:lvlJc w:val="left"/>
      <w:pPr>
        <w:ind w:left="205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535" w:hanging="480"/>
      </w:pPr>
    </w:lvl>
    <w:lvl w:ilvl="5" w:tplc="0409001B" w:tentative="1">
      <w:start w:val="1"/>
      <w:numFmt w:val="lowerRoman"/>
      <w:lvlText w:val="%6."/>
      <w:lvlJc w:val="right"/>
      <w:pPr>
        <w:ind w:left="3015" w:hanging="480"/>
      </w:pPr>
    </w:lvl>
    <w:lvl w:ilvl="6" w:tplc="0409000F" w:tentative="1">
      <w:start w:val="1"/>
      <w:numFmt w:val="decimal"/>
      <w:lvlText w:val="%7."/>
      <w:lvlJc w:val="left"/>
      <w:pPr>
        <w:ind w:left="349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975" w:hanging="480"/>
      </w:pPr>
    </w:lvl>
    <w:lvl w:ilvl="8" w:tplc="0409001B" w:tentative="1">
      <w:start w:val="1"/>
      <w:numFmt w:val="lowerRoman"/>
      <w:lvlText w:val="%9."/>
      <w:lvlJc w:val="right"/>
      <w:pPr>
        <w:ind w:left="4455" w:hanging="480"/>
      </w:pPr>
    </w:lvl>
  </w:abstractNum>
  <w:abstractNum w:abstractNumId="39" w15:restartNumberingAfterBreak="0">
    <w:nsid w:val="6E0E562A"/>
    <w:multiLevelType w:val="hybridMultilevel"/>
    <w:tmpl w:val="CF1842F2"/>
    <w:lvl w:ilvl="0" w:tplc="FFFFFFFF">
      <w:start w:val="1"/>
      <w:numFmt w:val="taiwaneseCountingThousand"/>
      <w:lvlText w:val="(%1)"/>
      <w:lvlJc w:val="left"/>
      <w:pPr>
        <w:ind w:left="465" w:hanging="465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0" w15:restartNumberingAfterBreak="0">
    <w:nsid w:val="73D5016C"/>
    <w:multiLevelType w:val="hybridMultilevel"/>
    <w:tmpl w:val="6FC8A7A0"/>
    <w:lvl w:ilvl="0" w:tplc="41F02896">
      <w:start w:val="1"/>
      <w:numFmt w:val="bullet"/>
      <w:lvlText w:val="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41" w15:restartNumberingAfterBreak="0">
    <w:nsid w:val="74DE4D02"/>
    <w:multiLevelType w:val="hybridMultilevel"/>
    <w:tmpl w:val="1F600238"/>
    <w:lvl w:ilvl="0" w:tplc="41F02896">
      <w:start w:val="1"/>
      <w:numFmt w:val="bullet"/>
      <w:lvlText w:val="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42" w15:restartNumberingAfterBreak="0">
    <w:nsid w:val="75936740"/>
    <w:multiLevelType w:val="hybridMultilevel"/>
    <w:tmpl w:val="0862DB1A"/>
    <w:lvl w:ilvl="0" w:tplc="9680117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3" w15:restartNumberingAfterBreak="0">
    <w:nsid w:val="77E15562"/>
    <w:multiLevelType w:val="hybridMultilevel"/>
    <w:tmpl w:val="7F926A82"/>
    <w:lvl w:ilvl="0" w:tplc="FFFFFFFF">
      <w:start w:val="1"/>
      <w:numFmt w:val="decimal"/>
      <w:lvlText w:val="%1."/>
      <w:lvlJc w:val="left"/>
      <w:pPr>
        <w:ind w:left="480" w:hanging="480"/>
      </w:pPr>
      <w:rPr>
        <w:rFonts w:ascii="Times New Roman" w:eastAsia="標楷體" w:hAnsi="Times New Roman" w:cs="Times New Roman"/>
      </w:rPr>
    </w:lvl>
    <w:lvl w:ilvl="1" w:tplc="FFFFFFFF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4" w15:restartNumberingAfterBreak="0">
    <w:nsid w:val="78C14BE8"/>
    <w:multiLevelType w:val="hybridMultilevel"/>
    <w:tmpl w:val="7882B042"/>
    <w:lvl w:ilvl="0" w:tplc="A7E2FCCA">
      <w:start w:val="1"/>
      <w:numFmt w:val="decimal"/>
      <w:lvlText w:val="(%1)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5" w15:restartNumberingAfterBreak="0">
    <w:nsid w:val="79E8796C"/>
    <w:multiLevelType w:val="hybridMultilevel"/>
    <w:tmpl w:val="05D0457A"/>
    <w:lvl w:ilvl="0" w:tplc="41F02896">
      <w:start w:val="1"/>
      <w:numFmt w:val="bullet"/>
      <w:lvlText w:val="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852454458">
    <w:abstractNumId w:val="31"/>
  </w:num>
  <w:num w:numId="2" w16cid:durableId="161166185">
    <w:abstractNumId w:val="33"/>
  </w:num>
  <w:num w:numId="3" w16cid:durableId="2001494804">
    <w:abstractNumId w:val="22"/>
  </w:num>
  <w:num w:numId="4" w16cid:durableId="1640719034">
    <w:abstractNumId w:val="24"/>
  </w:num>
  <w:num w:numId="5" w16cid:durableId="879131661">
    <w:abstractNumId w:val="6"/>
  </w:num>
  <w:num w:numId="6" w16cid:durableId="916943284">
    <w:abstractNumId w:val="10"/>
  </w:num>
  <w:num w:numId="7" w16cid:durableId="2076708151">
    <w:abstractNumId w:val="35"/>
  </w:num>
  <w:num w:numId="8" w16cid:durableId="772633783">
    <w:abstractNumId w:val="20"/>
  </w:num>
  <w:num w:numId="9" w16cid:durableId="33969775">
    <w:abstractNumId w:val="34"/>
  </w:num>
  <w:num w:numId="10" w16cid:durableId="1368800387">
    <w:abstractNumId w:val="19"/>
  </w:num>
  <w:num w:numId="11" w16cid:durableId="1406799555">
    <w:abstractNumId w:val="0"/>
  </w:num>
  <w:num w:numId="12" w16cid:durableId="1899584663">
    <w:abstractNumId w:val="26"/>
  </w:num>
  <w:num w:numId="13" w16cid:durableId="1764764954">
    <w:abstractNumId w:val="28"/>
  </w:num>
  <w:num w:numId="14" w16cid:durableId="763649354">
    <w:abstractNumId w:val="3"/>
  </w:num>
  <w:num w:numId="15" w16cid:durableId="1685472621">
    <w:abstractNumId w:val="9"/>
  </w:num>
  <w:num w:numId="16" w16cid:durableId="1257598103">
    <w:abstractNumId w:val="5"/>
  </w:num>
  <w:num w:numId="17" w16cid:durableId="1053383927">
    <w:abstractNumId w:val="29"/>
  </w:num>
  <w:num w:numId="18" w16cid:durableId="776095337">
    <w:abstractNumId w:val="38"/>
  </w:num>
  <w:num w:numId="19" w16cid:durableId="1182548048">
    <w:abstractNumId w:val="14"/>
  </w:num>
  <w:num w:numId="20" w16cid:durableId="1412846751">
    <w:abstractNumId w:val="37"/>
  </w:num>
  <w:num w:numId="21" w16cid:durableId="1271006855">
    <w:abstractNumId w:val="42"/>
  </w:num>
  <w:num w:numId="22" w16cid:durableId="677196099">
    <w:abstractNumId w:val="2"/>
  </w:num>
  <w:num w:numId="23" w16cid:durableId="900749095">
    <w:abstractNumId w:val="25"/>
  </w:num>
  <w:num w:numId="24" w16cid:durableId="1643998505">
    <w:abstractNumId w:val="43"/>
  </w:num>
  <w:num w:numId="25" w16cid:durableId="607396318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705249892">
    <w:abstractNumId w:val="36"/>
  </w:num>
  <w:num w:numId="27" w16cid:durableId="76556158">
    <w:abstractNumId w:val="1"/>
  </w:num>
  <w:num w:numId="28" w16cid:durableId="2073192469">
    <w:abstractNumId w:val="18"/>
  </w:num>
  <w:num w:numId="29" w16cid:durableId="1222011892">
    <w:abstractNumId w:val="27"/>
  </w:num>
  <w:num w:numId="30" w16cid:durableId="1988588431">
    <w:abstractNumId w:val="8"/>
  </w:num>
  <w:num w:numId="31" w16cid:durableId="1581409934">
    <w:abstractNumId w:val="11"/>
  </w:num>
  <w:num w:numId="32" w16cid:durableId="1538159181">
    <w:abstractNumId w:val="21"/>
  </w:num>
  <w:num w:numId="33" w16cid:durableId="720862096">
    <w:abstractNumId w:val="13"/>
  </w:num>
  <w:num w:numId="34" w16cid:durableId="1107308647">
    <w:abstractNumId w:val="12"/>
  </w:num>
  <w:num w:numId="35" w16cid:durableId="1538202219">
    <w:abstractNumId w:val="39"/>
  </w:num>
  <w:num w:numId="36" w16cid:durableId="1808694571">
    <w:abstractNumId w:val="15"/>
  </w:num>
  <w:num w:numId="37" w16cid:durableId="1599754617">
    <w:abstractNumId w:val="30"/>
  </w:num>
  <w:num w:numId="38" w16cid:durableId="2109304778">
    <w:abstractNumId w:val="45"/>
  </w:num>
  <w:num w:numId="39" w16cid:durableId="1237780607">
    <w:abstractNumId w:val="16"/>
  </w:num>
  <w:num w:numId="40" w16cid:durableId="343896612">
    <w:abstractNumId w:val="17"/>
  </w:num>
  <w:num w:numId="41" w16cid:durableId="1525902938">
    <w:abstractNumId w:val="32"/>
  </w:num>
  <w:num w:numId="42" w16cid:durableId="1250114740">
    <w:abstractNumId w:val="40"/>
  </w:num>
  <w:num w:numId="43" w16cid:durableId="1559391853">
    <w:abstractNumId w:val="7"/>
  </w:num>
  <w:num w:numId="44" w16cid:durableId="1616643361">
    <w:abstractNumId w:val="41"/>
  </w:num>
  <w:num w:numId="45" w16cid:durableId="1139301119">
    <w:abstractNumId w:val="23"/>
  </w:num>
  <w:num w:numId="46" w16cid:durableId="2005932012">
    <w:abstractNumId w:val="44"/>
  </w:num>
  <w:num w:numId="47" w16cid:durableId="137056747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3193"/>
    <w:rsid w:val="00000061"/>
    <w:rsid w:val="00020A2E"/>
    <w:rsid w:val="00042880"/>
    <w:rsid w:val="00055F18"/>
    <w:rsid w:val="00090CCF"/>
    <w:rsid w:val="000A1CE1"/>
    <w:rsid w:val="000A6038"/>
    <w:rsid w:val="000C6878"/>
    <w:rsid w:val="000D51B9"/>
    <w:rsid w:val="000E07D2"/>
    <w:rsid w:val="00104891"/>
    <w:rsid w:val="00126474"/>
    <w:rsid w:val="00133553"/>
    <w:rsid w:val="00160DDF"/>
    <w:rsid w:val="00180B50"/>
    <w:rsid w:val="00186983"/>
    <w:rsid w:val="0018787F"/>
    <w:rsid w:val="001A6E27"/>
    <w:rsid w:val="001B6734"/>
    <w:rsid w:val="001C17AD"/>
    <w:rsid w:val="001C4B2B"/>
    <w:rsid w:val="001D1052"/>
    <w:rsid w:val="00215D15"/>
    <w:rsid w:val="00237297"/>
    <w:rsid w:val="002A676B"/>
    <w:rsid w:val="002C2C41"/>
    <w:rsid w:val="002C41F4"/>
    <w:rsid w:val="002D14A2"/>
    <w:rsid w:val="002D2926"/>
    <w:rsid w:val="002D5CA5"/>
    <w:rsid w:val="002D78BB"/>
    <w:rsid w:val="002F4D77"/>
    <w:rsid w:val="00306821"/>
    <w:rsid w:val="003B36C0"/>
    <w:rsid w:val="003C77E8"/>
    <w:rsid w:val="003D7449"/>
    <w:rsid w:val="003E50E6"/>
    <w:rsid w:val="003F1298"/>
    <w:rsid w:val="00404D22"/>
    <w:rsid w:val="00417989"/>
    <w:rsid w:val="00426BF3"/>
    <w:rsid w:val="0043364F"/>
    <w:rsid w:val="00443193"/>
    <w:rsid w:val="00451865"/>
    <w:rsid w:val="00461614"/>
    <w:rsid w:val="004635B1"/>
    <w:rsid w:val="00485C81"/>
    <w:rsid w:val="00492007"/>
    <w:rsid w:val="004E46BD"/>
    <w:rsid w:val="004E48F2"/>
    <w:rsid w:val="004F5EEF"/>
    <w:rsid w:val="00507F2C"/>
    <w:rsid w:val="005553E8"/>
    <w:rsid w:val="00564C04"/>
    <w:rsid w:val="00575DEC"/>
    <w:rsid w:val="005B0538"/>
    <w:rsid w:val="005D0721"/>
    <w:rsid w:val="005D46F2"/>
    <w:rsid w:val="005D4B71"/>
    <w:rsid w:val="005D7069"/>
    <w:rsid w:val="005E5372"/>
    <w:rsid w:val="005F30F6"/>
    <w:rsid w:val="006066ED"/>
    <w:rsid w:val="00633ADC"/>
    <w:rsid w:val="0065756A"/>
    <w:rsid w:val="006604AB"/>
    <w:rsid w:val="00664E9E"/>
    <w:rsid w:val="00666207"/>
    <w:rsid w:val="0066726C"/>
    <w:rsid w:val="00672EEB"/>
    <w:rsid w:val="00674DE8"/>
    <w:rsid w:val="006853EC"/>
    <w:rsid w:val="0068657D"/>
    <w:rsid w:val="00687A15"/>
    <w:rsid w:val="006D2A51"/>
    <w:rsid w:val="006D5640"/>
    <w:rsid w:val="006E46DD"/>
    <w:rsid w:val="006F3BBB"/>
    <w:rsid w:val="006F7A52"/>
    <w:rsid w:val="0076614D"/>
    <w:rsid w:val="007664A0"/>
    <w:rsid w:val="00766A9C"/>
    <w:rsid w:val="00792CE5"/>
    <w:rsid w:val="007A3E18"/>
    <w:rsid w:val="007B2D67"/>
    <w:rsid w:val="007C4A7F"/>
    <w:rsid w:val="007C6522"/>
    <w:rsid w:val="007E7A86"/>
    <w:rsid w:val="0080446A"/>
    <w:rsid w:val="0081310A"/>
    <w:rsid w:val="00830008"/>
    <w:rsid w:val="0084503D"/>
    <w:rsid w:val="008460C0"/>
    <w:rsid w:val="008543C6"/>
    <w:rsid w:val="0086178D"/>
    <w:rsid w:val="00872090"/>
    <w:rsid w:val="008960F5"/>
    <w:rsid w:val="008A525D"/>
    <w:rsid w:val="008D3B75"/>
    <w:rsid w:val="008E1F5A"/>
    <w:rsid w:val="008F3514"/>
    <w:rsid w:val="0092449C"/>
    <w:rsid w:val="00932AFD"/>
    <w:rsid w:val="0093769E"/>
    <w:rsid w:val="009758FF"/>
    <w:rsid w:val="009A6A3C"/>
    <w:rsid w:val="009D4708"/>
    <w:rsid w:val="00A06F23"/>
    <w:rsid w:val="00A21A18"/>
    <w:rsid w:val="00A25333"/>
    <w:rsid w:val="00A57860"/>
    <w:rsid w:val="00A6353B"/>
    <w:rsid w:val="00AA4B1D"/>
    <w:rsid w:val="00AB6796"/>
    <w:rsid w:val="00AD5A25"/>
    <w:rsid w:val="00AE08FE"/>
    <w:rsid w:val="00AF67A5"/>
    <w:rsid w:val="00AF6FE6"/>
    <w:rsid w:val="00B266C6"/>
    <w:rsid w:val="00B2745E"/>
    <w:rsid w:val="00B313A0"/>
    <w:rsid w:val="00B56C46"/>
    <w:rsid w:val="00B610CA"/>
    <w:rsid w:val="00B64290"/>
    <w:rsid w:val="00B83AD6"/>
    <w:rsid w:val="00B86F41"/>
    <w:rsid w:val="00B877A6"/>
    <w:rsid w:val="00B9297F"/>
    <w:rsid w:val="00BA1A4F"/>
    <w:rsid w:val="00BA5F85"/>
    <w:rsid w:val="00BB235A"/>
    <w:rsid w:val="00BB44F2"/>
    <w:rsid w:val="00BF0695"/>
    <w:rsid w:val="00C0315C"/>
    <w:rsid w:val="00C25412"/>
    <w:rsid w:val="00C42ECE"/>
    <w:rsid w:val="00C511F0"/>
    <w:rsid w:val="00C60DE4"/>
    <w:rsid w:val="00C60F4C"/>
    <w:rsid w:val="00C639C6"/>
    <w:rsid w:val="00C72401"/>
    <w:rsid w:val="00C74882"/>
    <w:rsid w:val="00C87F2F"/>
    <w:rsid w:val="00CA4929"/>
    <w:rsid w:val="00CA776D"/>
    <w:rsid w:val="00CD45E9"/>
    <w:rsid w:val="00CD671E"/>
    <w:rsid w:val="00CE7F8F"/>
    <w:rsid w:val="00CF1875"/>
    <w:rsid w:val="00CF4808"/>
    <w:rsid w:val="00D1296F"/>
    <w:rsid w:val="00D63D44"/>
    <w:rsid w:val="00D65CCD"/>
    <w:rsid w:val="00D737FD"/>
    <w:rsid w:val="00D76098"/>
    <w:rsid w:val="00DD1F2A"/>
    <w:rsid w:val="00DE10AB"/>
    <w:rsid w:val="00DE121B"/>
    <w:rsid w:val="00DE651E"/>
    <w:rsid w:val="00DF1EE8"/>
    <w:rsid w:val="00E14E9B"/>
    <w:rsid w:val="00E22A25"/>
    <w:rsid w:val="00E239A0"/>
    <w:rsid w:val="00E32B04"/>
    <w:rsid w:val="00E43F9F"/>
    <w:rsid w:val="00E453BD"/>
    <w:rsid w:val="00E512CC"/>
    <w:rsid w:val="00E51C75"/>
    <w:rsid w:val="00E62A80"/>
    <w:rsid w:val="00E65503"/>
    <w:rsid w:val="00E77FA0"/>
    <w:rsid w:val="00E821C4"/>
    <w:rsid w:val="00E82659"/>
    <w:rsid w:val="00E82EFF"/>
    <w:rsid w:val="00E974D9"/>
    <w:rsid w:val="00EB6B28"/>
    <w:rsid w:val="00EB738C"/>
    <w:rsid w:val="00EE0626"/>
    <w:rsid w:val="00EF5796"/>
    <w:rsid w:val="00F00D8E"/>
    <w:rsid w:val="00F46D5B"/>
    <w:rsid w:val="00F62560"/>
    <w:rsid w:val="00F71326"/>
    <w:rsid w:val="00FD0C1E"/>
    <w:rsid w:val="00FE105C"/>
    <w:rsid w:val="00FF66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0D5EF1"/>
  <w15:chartTrackingRefBased/>
  <w15:docId w15:val="{F1D8BD33-7541-4444-B7F7-392AD0FEEA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aliases w:val="numbered,Paragraphe de liste1,Bulletr List Paragraph,Bullet List,FooterText,List Paragraph1,List Paragraph21,List Paragraph11,Parágrafo da Lista1,リスト段落1,Listeafsnit1,Listenabsatz,リスト段落,Plan,Fo,List Pa,列出段落1,Par¨￠gr,圖標號,01章名,樣式A,圖標,Bullet1,Bullet 1"/>
    <w:basedOn w:val="a"/>
    <w:link w:val="a4"/>
    <w:uiPriority w:val="34"/>
    <w:qFormat/>
    <w:rsid w:val="00443193"/>
    <w:pPr>
      <w:ind w:leftChars="200" w:left="480"/>
    </w:pPr>
  </w:style>
  <w:style w:type="character" w:customStyle="1" w:styleId="apple-converted-space">
    <w:name w:val="apple-converted-space"/>
    <w:basedOn w:val="a0"/>
    <w:rsid w:val="00443193"/>
  </w:style>
  <w:style w:type="character" w:customStyle="1" w:styleId="whitespace-normal">
    <w:name w:val="whitespace-normal"/>
    <w:basedOn w:val="a0"/>
    <w:rsid w:val="00443193"/>
  </w:style>
  <w:style w:type="table" w:styleId="a5">
    <w:name w:val="Table Grid"/>
    <w:basedOn w:val="a1"/>
    <w:uiPriority w:val="39"/>
    <w:rsid w:val="00BA1A4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93769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basedOn w:val="a0"/>
    <w:link w:val="a6"/>
    <w:uiPriority w:val="99"/>
    <w:rsid w:val="0093769E"/>
    <w:rPr>
      <w:sz w:val="20"/>
      <w:szCs w:val="20"/>
    </w:rPr>
  </w:style>
  <w:style w:type="paragraph" w:styleId="a8">
    <w:name w:val="footer"/>
    <w:basedOn w:val="a"/>
    <w:link w:val="a9"/>
    <w:uiPriority w:val="99"/>
    <w:unhideWhenUsed/>
    <w:rsid w:val="0093769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basedOn w:val="a0"/>
    <w:link w:val="a8"/>
    <w:uiPriority w:val="99"/>
    <w:rsid w:val="0093769E"/>
    <w:rPr>
      <w:sz w:val="20"/>
      <w:szCs w:val="20"/>
    </w:rPr>
  </w:style>
  <w:style w:type="character" w:customStyle="1" w:styleId="a4">
    <w:name w:val="清單段落 字元"/>
    <w:aliases w:val="numbered 字元,Paragraphe de liste1 字元,Bulletr List Paragraph 字元,Bullet List 字元,FooterText 字元,List Paragraph1 字元,List Paragraph21 字元,List Paragraph11 字元,Parágrafo da Lista1 字元,リスト段落1 字元,Listeafsnit1 字元,Listenabsatz 字元,リスト段落 字元,Plan 字元,Fo 字元,圖標號 字元"/>
    <w:basedOn w:val="a0"/>
    <w:link w:val="a3"/>
    <w:uiPriority w:val="34"/>
    <w:qFormat/>
    <w:rsid w:val="00AE08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7563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77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77FF57-989A-4B89-BC5C-39A71D373E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1079</TotalTime>
  <Pages>5</Pages>
  <Words>480</Words>
  <Characters>2738</Characters>
  <Application>Microsoft Office Word</Application>
  <DocSecurity>0</DocSecurity>
  <Lines>22</Lines>
  <Paragraphs>6</Paragraphs>
  <ScaleCrop>false</ScaleCrop>
  <Company/>
  <LinksUpToDate>false</LinksUpToDate>
  <CharactersWithSpaces>3212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賴奎佐</cp:lastModifiedBy>
  <cp:revision>44</cp:revision>
  <cp:lastPrinted>2026-03-26T11:23:00Z</cp:lastPrinted>
  <dcterms:created xsi:type="dcterms:W3CDTF">2026-04-02T08:59:00Z</dcterms:created>
  <dcterms:modified xsi:type="dcterms:W3CDTF">2026-04-20T12:04:00Z</dcterms:modified>
</cp:coreProperties>
</file>