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27E7" w14:textId="77777777" w:rsidR="00FE105C" w:rsidRDefault="00D65CCD" w:rsidP="00D65CCD">
      <w:pPr>
        <w:pStyle w:val="a3"/>
        <w:spacing w:line="440" w:lineRule="exact"/>
        <w:ind w:leftChars="0" w:left="360"/>
        <w:jc w:val="center"/>
        <w:rPr>
          <w:rFonts w:ascii="Times New Roman" w:eastAsia="標楷體" w:hAnsi="Times New Roman" w:cs="Times New Roman"/>
          <w:b/>
          <w:bCs/>
          <w:sz w:val="32"/>
          <w:szCs w:val="32"/>
        </w:rPr>
      </w:pPr>
      <w:r w:rsidRPr="00D65CCD">
        <w:rPr>
          <w:rFonts w:ascii="Times New Roman" w:eastAsia="標楷體" w:hAnsi="Times New Roman" w:cs="Times New Roman" w:hint="eastAsia"/>
          <w:b/>
          <w:bCs/>
          <w:sz w:val="32"/>
          <w:szCs w:val="32"/>
        </w:rPr>
        <w:t>115.4.12</w:t>
      </w:r>
      <w:r w:rsidRPr="00D65CCD">
        <w:rPr>
          <w:rFonts w:ascii="Times New Roman" w:eastAsia="標楷體" w:hAnsi="Times New Roman" w:cs="Times New Roman" w:hint="eastAsia"/>
          <w:b/>
          <w:bCs/>
          <w:sz w:val="32"/>
          <w:szCs w:val="32"/>
        </w:rPr>
        <w:t>醫藥品法規學會</w:t>
      </w:r>
    </w:p>
    <w:p w14:paraId="5C54053D" w14:textId="1E59CD21" w:rsidR="00FE105C" w:rsidRDefault="00D65CCD" w:rsidP="00D65CCD">
      <w:pPr>
        <w:pStyle w:val="a3"/>
        <w:spacing w:line="440" w:lineRule="exact"/>
        <w:ind w:leftChars="0" w:left="360"/>
        <w:jc w:val="center"/>
        <w:rPr>
          <w:rFonts w:ascii="Times New Roman" w:eastAsia="標楷體" w:hAnsi="Times New Roman" w:cs="Times New Roman"/>
          <w:b/>
          <w:bCs/>
          <w:sz w:val="32"/>
          <w:szCs w:val="32"/>
        </w:rPr>
      </w:pPr>
      <w:r w:rsidRPr="00D65CCD">
        <w:rPr>
          <w:rFonts w:ascii="Times New Roman" w:eastAsia="標楷體" w:hAnsi="Times New Roman" w:cs="Times New Roman" w:hint="eastAsia"/>
          <w:b/>
          <w:bCs/>
          <w:sz w:val="32"/>
          <w:szCs w:val="32"/>
        </w:rPr>
        <w:t>「健康台灣政策與挑戰：提升新藥可近性與國家競爭力論壇」</w:t>
      </w:r>
    </w:p>
    <w:p w14:paraId="0E80C01A" w14:textId="29FCA509" w:rsidR="00180B50" w:rsidRPr="00D65CCD" w:rsidRDefault="00D65CCD" w:rsidP="00D65CCD">
      <w:pPr>
        <w:pStyle w:val="a3"/>
        <w:spacing w:line="440" w:lineRule="exact"/>
        <w:ind w:leftChars="0" w:left="360"/>
        <w:jc w:val="center"/>
        <w:rPr>
          <w:rFonts w:ascii="Times New Roman" w:eastAsia="標楷體" w:hAnsi="Times New Roman" w:cs="Times New Roman"/>
          <w:b/>
          <w:bCs/>
          <w:sz w:val="32"/>
          <w:szCs w:val="32"/>
        </w:rPr>
      </w:pPr>
      <w:r w:rsidRPr="00D65CCD">
        <w:rPr>
          <w:rFonts w:ascii="Times New Roman" w:eastAsia="標楷體" w:hAnsi="Times New Roman" w:cs="Times New Roman" w:hint="eastAsia"/>
          <w:b/>
          <w:bCs/>
          <w:sz w:val="32"/>
          <w:szCs w:val="32"/>
        </w:rPr>
        <w:t>備參資料</w:t>
      </w:r>
    </w:p>
    <w:p w14:paraId="365B9D1B" w14:textId="77777777" w:rsidR="00AE08FE" w:rsidRDefault="00AE08FE" w:rsidP="00AE08FE">
      <w:pPr>
        <w:pStyle w:val="a3"/>
        <w:numPr>
          <w:ilvl w:val="0"/>
          <w:numId w:val="11"/>
        </w:numPr>
        <w:spacing w:line="480" w:lineRule="exact"/>
        <w:ind w:leftChars="0"/>
        <w:contextualSpacing/>
        <w:rPr>
          <w:rFonts w:ascii="Times New Roman" w:eastAsia="標楷體" w:hAnsi="Times New Roman" w:cs="Times New Roman"/>
          <w:b/>
          <w:bCs/>
          <w:sz w:val="32"/>
          <w:szCs w:val="32"/>
        </w:rPr>
      </w:pPr>
      <w:r w:rsidRPr="009B4330">
        <w:rPr>
          <w:rFonts w:ascii="Times New Roman" w:eastAsia="標楷體" w:hAnsi="Times New Roman" w:cs="Times New Roman" w:hint="eastAsia"/>
          <w:b/>
          <w:bCs/>
          <w:sz w:val="32"/>
          <w:szCs w:val="32"/>
        </w:rPr>
        <w:t>會議資訊</w:t>
      </w:r>
    </w:p>
    <w:p w14:paraId="73A6ED39" w14:textId="77777777" w:rsidR="00AE08FE" w:rsidRPr="009B4330" w:rsidRDefault="00AE08FE" w:rsidP="00AE08FE">
      <w:pPr>
        <w:pStyle w:val="a3"/>
        <w:numPr>
          <w:ilvl w:val="1"/>
          <w:numId w:val="11"/>
        </w:numPr>
        <w:spacing w:line="480" w:lineRule="exact"/>
        <w:ind w:leftChars="0" w:left="227" w:firstLine="0"/>
        <w:contextualSpacing/>
        <w:rPr>
          <w:rFonts w:ascii="Times New Roman" w:eastAsia="標楷體" w:hAnsi="Times New Roman" w:cs="Times New Roman"/>
          <w:b/>
          <w:bCs/>
          <w:sz w:val="28"/>
          <w:szCs w:val="28"/>
        </w:rPr>
      </w:pPr>
      <w:r w:rsidRPr="009B4330">
        <w:rPr>
          <w:rFonts w:ascii="Times New Roman" w:eastAsia="標楷體" w:hAnsi="Times New Roman" w:cs="Times New Roman" w:hint="eastAsia"/>
          <w:b/>
          <w:bCs/>
          <w:sz w:val="28"/>
          <w:szCs w:val="28"/>
        </w:rPr>
        <w:t>日期：</w:t>
      </w:r>
      <w:r w:rsidRPr="0089230D">
        <w:rPr>
          <w:rFonts w:ascii="Times New Roman" w:eastAsia="標楷體" w:hAnsi="Times New Roman" w:cs="Times New Roman" w:hint="eastAsia"/>
          <w:sz w:val="28"/>
          <w:szCs w:val="28"/>
        </w:rPr>
        <w:t>115</w:t>
      </w:r>
      <w:r w:rsidRPr="0089230D">
        <w:rPr>
          <w:rFonts w:ascii="Times New Roman" w:eastAsia="標楷體" w:hAnsi="Times New Roman" w:cs="Times New Roman" w:hint="eastAsia"/>
          <w:sz w:val="28"/>
          <w:szCs w:val="28"/>
        </w:rPr>
        <w:t>年</w:t>
      </w:r>
      <w:r w:rsidRPr="0089230D">
        <w:rPr>
          <w:rFonts w:ascii="Times New Roman" w:eastAsia="標楷體" w:hAnsi="Times New Roman" w:cs="Times New Roman" w:hint="eastAsia"/>
          <w:sz w:val="28"/>
          <w:szCs w:val="28"/>
        </w:rPr>
        <w:t>4</w:t>
      </w:r>
      <w:r w:rsidRPr="0089230D">
        <w:rPr>
          <w:rFonts w:ascii="Times New Roman" w:eastAsia="標楷體" w:hAnsi="Times New Roman" w:cs="Times New Roman" w:hint="eastAsia"/>
          <w:sz w:val="28"/>
          <w:szCs w:val="28"/>
        </w:rPr>
        <w:t>月</w:t>
      </w:r>
      <w:r w:rsidRPr="0089230D">
        <w:rPr>
          <w:rFonts w:ascii="Times New Roman" w:eastAsia="標楷體" w:hAnsi="Times New Roman" w:cs="Times New Roman" w:hint="eastAsia"/>
          <w:sz w:val="28"/>
          <w:szCs w:val="28"/>
        </w:rPr>
        <w:t>12</w:t>
      </w:r>
      <w:r w:rsidRPr="0089230D">
        <w:rPr>
          <w:rFonts w:ascii="Times New Roman" w:eastAsia="標楷體" w:hAnsi="Times New Roman" w:cs="Times New Roman" w:hint="eastAsia"/>
          <w:sz w:val="28"/>
          <w:szCs w:val="28"/>
        </w:rPr>
        <w:t>日</w:t>
      </w:r>
      <w:r w:rsidRPr="0089230D">
        <w:rPr>
          <w:rFonts w:ascii="Times New Roman" w:eastAsia="標楷體" w:hAnsi="Times New Roman" w:cs="Times New Roman" w:hint="eastAsia"/>
          <w:sz w:val="28"/>
          <w:szCs w:val="28"/>
        </w:rPr>
        <w:t>13</w:t>
      </w:r>
      <w:r w:rsidRPr="0089230D">
        <w:rPr>
          <w:rFonts w:ascii="Times New Roman" w:eastAsia="標楷體" w:hAnsi="Times New Roman" w:cs="Times New Roman" w:hint="eastAsia"/>
          <w:sz w:val="28"/>
          <w:szCs w:val="28"/>
        </w:rPr>
        <w:t>時至</w:t>
      </w:r>
      <w:r w:rsidRPr="0089230D">
        <w:rPr>
          <w:rFonts w:ascii="Times New Roman" w:eastAsia="標楷體" w:hAnsi="Times New Roman" w:cs="Times New Roman" w:hint="eastAsia"/>
          <w:sz w:val="28"/>
          <w:szCs w:val="28"/>
        </w:rPr>
        <w:t>16</w:t>
      </w:r>
      <w:r w:rsidRPr="0089230D">
        <w:rPr>
          <w:rFonts w:ascii="Times New Roman" w:eastAsia="標楷體" w:hAnsi="Times New Roman" w:cs="Times New Roman" w:hint="eastAsia"/>
          <w:sz w:val="28"/>
          <w:szCs w:val="28"/>
        </w:rPr>
        <w:t>時</w:t>
      </w:r>
    </w:p>
    <w:p w14:paraId="65E78A6F" w14:textId="77777777" w:rsidR="00AE08FE" w:rsidRPr="009B4330" w:rsidRDefault="00AE08FE" w:rsidP="00AE08FE">
      <w:pPr>
        <w:pStyle w:val="a3"/>
        <w:numPr>
          <w:ilvl w:val="1"/>
          <w:numId w:val="11"/>
        </w:numPr>
        <w:spacing w:line="480" w:lineRule="exact"/>
        <w:ind w:leftChars="0" w:left="227" w:firstLine="0"/>
        <w:contextualSpacing/>
        <w:rPr>
          <w:rFonts w:ascii="Times New Roman" w:eastAsia="標楷體" w:hAnsi="Times New Roman" w:cs="Times New Roman"/>
          <w:b/>
          <w:bCs/>
          <w:sz w:val="28"/>
          <w:szCs w:val="28"/>
        </w:rPr>
      </w:pPr>
      <w:r w:rsidRPr="009B4330">
        <w:rPr>
          <w:rFonts w:ascii="Times New Roman" w:eastAsia="標楷體" w:hAnsi="Times New Roman" w:cs="Times New Roman" w:hint="eastAsia"/>
          <w:b/>
          <w:bCs/>
          <w:sz w:val="28"/>
          <w:szCs w:val="28"/>
        </w:rPr>
        <w:t>地點：</w:t>
      </w:r>
      <w:r w:rsidRPr="0089230D">
        <w:rPr>
          <w:rFonts w:ascii="Times New Roman" w:eastAsia="標楷體" w:hAnsi="Times New Roman" w:cs="Times New Roman"/>
          <w:sz w:val="28"/>
          <w:szCs w:val="28"/>
        </w:rPr>
        <w:t>台北君悅酒店君寓一</w:t>
      </w:r>
      <w:r>
        <w:rPr>
          <w:rFonts w:ascii="Times New Roman" w:eastAsia="標楷體" w:hAnsi="Times New Roman" w:cs="Times New Roman" w:hint="eastAsia"/>
          <w:sz w:val="28"/>
          <w:szCs w:val="28"/>
        </w:rPr>
        <w:t>（</w:t>
      </w:r>
      <w:r w:rsidRPr="0089230D">
        <w:rPr>
          <w:rFonts w:ascii="Times New Roman" w:eastAsia="標楷體" w:hAnsi="Times New Roman" w:cs="Times New Roman"/>
          <w:sz w:val="28"/>
          <w:szCs w:val="28"/>
        </w:rPr>
        <w:t>臺北市信義區松壽路</w:t>
      </w:r>
      <w:r w:rsidRPr="0089230D">
        <w:rPr>
          <w:rFonts w:ascii="Times New Roman" w:eastAsia="標楷體" w:hAnsi="Times New Roman" w:cs="Times New Roman"/>
          <w:sz w:val="28"/>
          <w:szCs w:val="28"/>
        </w:rPr>
        <w:t>2</w:t>
      </w:r>
      <w:r w:rsidRPr="0089230D">
        <w:rPr>
          <w:rFonts w:ascii="Times New Roman" w:eastAsia="標楷體" w:hAnsi="Times New Roman" w:cs="Times New Roman"/>
          <w:sz w:val="28"/>
          <w:szCs w:val="28"/>
        </w:rPr>
        <w:t>號</w:t>
      </w:r>
      <w:r w:rsidRPr="0089230D">
        <w:rPr>
          <w:rFonts w:ascii="Times New Roman" w:eastAsia="標楷體" w:hAnsi="Times New Roman" w:cs="Times New Roman"/>
          <w:sz w:val="28"/>
          <w:szCs w:val="28"/>
        </w:rPr>
        <w:t>1</w:t>
      </w:r>
      <w:r w:rsidRPr="0089230D">
        <w:rPr>
          <w:rFonts w:ascii="Times New Roman" w:eastAsia="標楷體" w:hAnsi="Times New Roman" w:cs="Times New Roman"/>
          <w:sz w:val="28"/>
          <w:szCs w:val="28"/>
        </w:rPr>
        <w:t>樓</w:t>
      </w:r>
      <w:r>
        <w:rPr>
          <w:rFonts w:ascii="Times New Roman" w:eastAsia="標楷體" w:hAnsi="Times New Roman" w:cs="Times New Roman" w:hint="eastAsia"/>
          <w:sz w:val="28"/>
          <w:szCs w:val="28"/>
        </w:rPr>
        <w:t>）</w:t>
      </w:r>
    </w:p>
    <w:p w14:paraId="7EB69F5C" w14:textId="7B6D6143" w:rsidR="00AE08FE" w:rsidRPr="009B4330" w:rsidRDefault="00AE08FE" w:rsidP="00AE08FE">
      <w:pPr>
        <w:pStyle w:val="a3"/>
        <w:numPr>
          <w:ilvl w:val="1"/>
          <w:numId w:val="11"/>
        </w:numPr>
        <w:spacing w:line="480" w:lineRule="exact"/>
        <w:ind w:leftChars="0" w:left="227" w:firstLine="0"/>
        <w:contextualSpacing/>
        <w:rPr>
          <w:rFonts w:ascii="Times New Roman" w:eastAsia="標楷體" w:hAnsi="Times New Roman" w:cs="Times New Roman"/>
          <w:b/>
          <w:bCs/>
          <w:sz w:val="28"/>
          <w:szCs w:val="28"/>
        </w:rPr>
      </w:pPr>
      <w:r w:rsidRPr="009B4330">
        <w:rPr>
          <w:rFonts w:ascii="Times New Roman" w:eastAsia="標楷體" w:hAnsi="Times New Roman" w:cs="Times New Roman" w:hint="eastAsia"/>
          <w:b/>
          <w:bCs/>
          <w:sz w:val="28"/>
          <w:szCs w:val="28"/>
        </w:rPr>
        <w:t>出席代表</w:t>
      </w:r>
      <w:r>
        <w:rPr>
          <w:rFonts w:ascii="Times New Roman" w:eastAsia="標楷體" w:hAnsi="Times New Roman" w:cs="Times New Roman" w:hint="eastAsia"/>
          <w:b/>
          <w:bCs/>
          <w:sz w:val="28"/>
          <w:szCs w:val="28"/>
        </w:rPr>
        <w:t>：</w:t>
      </w:r>
      <w:r w:rsidR="001B6734" w:rsidRPr="001B6734">
        <w:rPr>
          <w:rFonts w:ascii="Times New Roman" w:eastAsia="標楷體" w:hAnsi="Times New Roman" w:cs="Times New Roman" w:hint="eastAsia"/>
          <w:sz w:val="28"/>
          <w:szCs w:val="28"/>
        </w:rPr>
        <w:t>本署</w:t>
      </w:r>
      <w:r w:rsidRPr="0089230D">
        <w:rPr>
          <w:rFonts w:ascii="Times New Roman" w:eastAsia="標楷體" w:hAnsi="Times New Roman" w:cs="Times New Roman" w:hint="eastAsia"/>
          <w:sz w:val="28"/>
          <w:szCs w:val="28"/>
        </w:rPr>
        <w:t>陳亮妤署長、醫審組長官</w:t>
      </w:r>
    </w:p>
    <w:p w14:paraId="3F0C80DC" w14:textId="7025149A" w:rsidR="00AE08FE" w:rsidRPr="00666207" w:rsidRDefault="00AE08FE" w:rsidP="00AE08FE">
      <w:pPr>
        <w:pStyle w:val="a3"/>
        <w:numPr>
          <w:ilvl w:val="1"/>
          <w:numId w:val="11"/>
        </w:numPr>
        <w:spacing w:line="480" w:lineRule="exact"/>
        <w:ind w:leftChars="0" w:left="227" w:firstLine="0"/>
        <w:contextualSpacing/>
        <w:rPr>
          <w:rFonts w:ascii="Times New Roman" w:eastAsia="標楷體" w:hAnsi="Times New Roman" w:cs="Times New Roman"/>
          <w:b/>
          <w:bCs/>
          <w:sz w:val="28"/>
          <w:szCs w:val="28"/>
        </w:rPr>
      </w:pPr>
      <w:r w:rsidRPr="009B4330">
        <w:rPr>
          <w:rFonts w:ascii="Times New Roman" w:eastAsia="標楷體" w:hAnsi="Times New Roman" w:cs="Times New Roman" w:hint="eastAsia"/>
          <w:b/>
          <w:bCs/>
          <w:sz w:val="28"/>
          <w:szCs w:val="28"/>
        </w:rPr>
        <w:t>會議簡報</w:t>
      </w:r>
      <w:r>
        <w:rPr>
          <w:rFonts w:ascii="Times New Roman" w:eastAsia="標楷體" w:hAnsi="Times New Roman" w:cs="Times New Roman" w:hint="eastAsia"/>
          <w:b/>
          <w:bCs/>
          <w:sz w:val="28"/>
          <w:szCs w:val="28"/>
        </w:rPr>
        <w:t>：</w:t>
      </w:r>
      <w:r w:rsidRPr="0089230D">
        <w:rPr>
          <w:rFonts w:ascii="Times New Roman" w:eastAsia="標楷體" w:hAnsi="Times New Roman" w:cs="Times New Roman" w:hint="eastAsia"/>
          <w:sz w:val="28"/>
          <w:szCs w:val="28"/>
        </w:rPr>
        <w:t>健保永續韌性下的新藥政策藍圖：兼顧可近性與國家競爭力</w:t>
      </w:r>
    </w:p>
    <w:p w14:paraId="7CFB80F8" w14:textId="77777777" w:rsidR="00666207" w:rsidRPr="00666207" w:rsidRDefault="00666207" w:rsidP="00666207">
      <w:pPr>
        <w:spacing w:line="480" w:lineRule="exact"/>
        <w:ind w:left="227"/>
        <w:contextualSpacing/>
        <w:rPr>
          <w:rFonts w:ascii="Times New Roman" w:eastAsia="標楷體" w:hAnsi="Times New Roman" w:cs="Times New Roman"/>
          <w:b/>
          <w:bCs/>
          <w:sz w:val="28"/>
          <w:szCs w:val="28"/>
        </w:rPr>
      </w:pPr>
    </w:p>
    <w:p w14:paraId="479E4B1C" w14:textId="64544B46" w:rsidR="00AE08FE" w:rsidRPr="00AE08FE" w:rsidRDefault="00AE08FE" w:rsidP="00AE08FE">
      <w:pPr>
        <w:pStyle w:val="a3"/>
        <w:numPr>
          <w:ilvl w:val="0"/>
          <w:numId w:val="11"/>
        </w:numPr>
        <w:spacing w:line="440" w:lineRule="exact"/>
        <w:ind w:leftChars="0"/>
        <w:jc w:val="both"/>
        <w:rPr>
          <w:rFonts w:ascii="Times New Roman" w:eastAsia="標楷體" w:hAnsi="Times New Roman" w:cs="Times New Roman"/>
          <w:b/>
          <w:bCs/>
          <w:color w:val="000000"/>
          <w:sz w:val="32"/>
          <w:szCs w:val="32"/>
        </w:rPr>
      </w:pPr>
      <w:r w:rsidRPr="00AE08FE">
        <w:rPr>
          <w:rFonts w:ascii="Times New Roman" w:eastAsia="標楷體" w:hAnsi="Times New Roman" w:cs="Times New Roman" w:hint="eastAsia"/>
          <w:b/>
          <w:bCs/>
          <w:color w:val="000000"/>
          <w:sz w:val="32"/>
          <w:szCs w:val="32"/>
        </w:rPr>
        <w:t>談參資料</w:t>
      </w:r>
      <w:r w:rsidRPr="00AE08FE">
        <w:rPr>
          <w:noProof/>
        </w:rPr>
        <mc:AlternateContent>
          <mc:Choice Requires="wps">
            <w:drawing>
              <wp:anchor distT="45720" distB="45720" distL="114300" distR="114300" simplePos="0" relativeHeight="251659264" behindDoc="0" locked="0" layoutInCell="1" allowOverlap="1" wp14:anchorId="70897721" wp14:editId="3F3A3B9D">
                <wp:simplePos x="0" y="0"/>
                <wp:positionH relativeFrom="margin">
                  <wp:posOffset>2540</wp:posOffset>
                </wp:positionH>
                <wp:positionV relativeFrom="paragraph">
                  <wp:posOffset>381635</wp:posOffset>
                </wp:positionV>
                <wp:extent cx="5734050" cy="1404620"/>
                <wp:effectExtent l="0" t="0" r="19050" b="1397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287AB219" w14:textId="116D8C3A"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color w:val="000000"/>
                                <w:sz w:val="28"/>
                                <w:szCs w:val="28"/>
                              </w:rPr>
                              <w:t>翻轉資源分配僵局</w:t>
                            </w:r>
                            <w:r w:rsidRPr="00180B50">
                              <w:rPr>
                                <w:rFonts w:ascii="Times New Roman" w:eastAsia="標楷體" w:hAnsi="Times New Roman" w:cs="Times New Roman"/>
                                <w:color w:val="000000"/>
                                <w:sz w:val="28"/>
                                <w:szCs w:val="28"/>
                              </w:rPr>
                              <w:t>——</w:t>
                            </w:r>
                            <w:bookmarkStart w:id="0" w:name="_Hlk225410106"/>
                            <w:r w:rsidRPr="00180B50">
                              <w:rPr>
                                <w:rFonts w:ascii="Times New Roman" w:eastAsia="標楷體" w:hAnsi="Times New Roman" w:cs="Times New Roman"/>
                                <w:color w:val="000000"/>
                                <w:sz w:val="28"/>
                                <w:szCs w:val="28"/>
                              </w:rPr>
                              <w:t>針對台灣新藥支出佔比偏低且預算成長受限的現狀，應如何設定「新藥預算年度成長目標」？如何透過優化預算結構，建立「老藥節省、新藥引進」的預算循環機制？</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897721" id="_x0000_t202" coordsize="21600,21600" o:spt="202" path="m,l,21600r21600,l21600,xe">
                <v:stroke joinstyle="miter"/>
                <v:path gradientshapeok="t" o:connecttype="rect"/>
              </v:shapetype>
              <v:shape id="文字方塊 2" o:spid="_x0000_s1026" type="#_x0000_t202" style="position:absolute;left:0;text-align:left;margin-left:.2pt;margin-top:30.05pt;width:451.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">
                <v:textbox style="mso-fit-shape-to-text:t">
                  <w:txbxContent>
                    <w:p w14:paraId="287AB219" w14:textId="116D8C3A"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color w:val="000000"/>
                          <w:sz w:val="28"/>
                          <w:szCs w:val="28"/>
                        </w:rPr>
                        <w:t>翻轉資源分配僵局</w:t>
                      </w:r>
                      <w:r w:rsidRPr="00180B50">
                        <w:rPr>
                          <w:rFonts w:ascii="Times New Roman" w:eastAsia="標楷體" w:hAnsi="Times New Roman" w:cs="Times New Roman"/>
                          <w:color w:val="000000"/>
                          <w:sz w:val="28"/>
                          <w:szCs w:val="28"/>
                        </w:rPr>
                        <w:t>——</w:t>
                      </w:r>
                      <w:bookmarkStart w:id="1" w:name="_Hlk225410106"/>
                      <w:r w:rsidRPr="00180B50">
                        <w:rPr>
                          <w:rFonts w:ascii="Times New Roman" w:eastAsia="標楷體" w:hAnsi="Times New Roman" w:cs="Times New Roman"/>
                          <w:color w:val="000000"/>
                          <w:sz w:val="28"/>
                          <w:szCs w:val="28"/>
                        </w:rPr>
                        <w:t>針對台灣新藥支出佔比偏低且預算成長受限的現狀，應如何設定「新藥預算年度成長目標」？如何透過優化預算結構，建立「老藥節省、新藥引進」的預算循環機制？</w:t>
                      </w:r>
                      <w:bookmarkEnd w:id="1"/>
                    </w:p>
                  </w:txbxContent>
                </v:textbox>
                <w10:wrap type="square" anchorx="margin"/>
              </v:shape>
            </w:pict>
          </mc:Fallback>
        </mc:AlternateContent>
      </w:r>
    </w:p>
    <w:p w14:paraId="4A5F65D9" w14:textId="77777777" w:rsidR="00507F2C" w:rsidRDefault="00664E9E" w:rsidP="00180B50">
      <w:pPr>
        <w:spacing w:line="440" w:lineRule="exact"/>
        <w:jc w:val="both"/>
        <w:rPr>
          <w:rFonts w:ascii="Times New Roman" w:eastAsia="標楷體" w:hAnsi="Times New Roman" w:cs="Times New Roman"/>
          <w:color w:val="000000"/>
          <w:sz w:val="28"/>
          <w:szCs w:val="28"/>
          <w:shd w:val="pct15" w:color="auto" w:fill="FFFFFF"/>
        </w:rPr>
      </w:pPr>
      <w:r w:rsidRPr="00AE08FE">
        <w:rPr>
          <w:rFonts w:ascii="Times New Roman" w:eastAsia="標楷體" w:hAnsi="Times New Roman" w:cs="Times New Roman" w:hint="eastAsia"/>
          <w:color w:val="000000"/>
          <w:sz w:val="28"/>
          <w:szCs w:val="28"/>
          <w:shd w:val="pct15" w:color="auto" w:fill="FFFFFF"/>
        </w:rPr>
        <w:t>本署說明：</w:t>
      </w:r>
    </w:p>
    <w:p w14:paraId="1679C07B" w14:textId="06AD88A2" w:rsidR="00D65CCD" w:rsidRPr="00507F2C" w:rsidRDefault="00507F2C" w:rsidP="00180B50">
      <w:pPr>
        <w:spacing w:line="440" w:lineRule="exact"/>
        <w:jc w:val="both"/>
        <w:rPr>
          <w:rFonts w:ascii="Times New Roman" w:eastAsia="標楷體" w:hAnsi="Times New Roman" w:cs="Times New Roman"/>
          <w:color w:val="000000"/>
          <w:sz w:val="28"/>
          <w:szCs w:val="28"/>
          <w:shd w:val="pct15" w:color="auto" w:fill="FFFFFF"/>
        </w:rPr>
      </w:pPr>
      <w:r w:rsidRPr="00507F2C">
        <w:rPr>
          <w:rFonts w:ascii="Times New Roman" w:eastAsia="標楷體" w:hAnsi="Times New Roman" w:cs="Times New Roman" w:hint="eastAsia"/>
          <w:b/>
          <w:color w:val="000000"/>
          <w:sz w:val="28"/>
          <w:szCs w:val="28"/>
        </w:rPr>
        <w:t>持續爭取新藥預算，透過市場交易情形調節藥費支出</w:t>
      </w:r>
    </w:p>
    <w:p w14:paraId="2589ACBD" w14:textId="478CD3A6" w:rsidR="00E512CC" w:rsidRDefault="0018787F" w:rsidP="007B2D67">
      <w:pPr>
        <w:pStyle w:val="a3"/>
        <w:numPr>
          <w:ilvl w:val="0"/>
          <w:numId w:val="5"/>
        </w:numPr>
        <w:spacing w:line="440" w:lineRule="exact"/>
        <w:ind w:leftChars="0"/>
        <w:jc w:val="both"/>
        <w:rPr>
          <w:rFonts w:ascii="Times New Roman" w:eastAsia="標楷體" w:hAnsi="Times New Roman" w:cs="Times New Roman"/>
          <w:sz w:val="28"/>
          <w:szCs w:val="28"/>
        </w:rPr>
      </w:pPr>
      <w:r w:rsidRPr="0018787F">
        <w:rPr>
          <w:rFonts w:ascii="Times New Roman" w:eastAsia="標楷體" w:hAnsi="Times New Roman" w:cs="Times New Roman" w:hint="eastAsia"/>
          <w:sz w:val="28"/>
          <w:szCs w:val="28"/>
        </w:rPr>
        <w:t>健保署</w:t>
      </w:r>
      <w:r>
        <w:rPr>
          <w:rFonts w:ascii="Times New Roman" w:eastAsia="標楷體" w:hAnsi="Times New Roman" w:cs="Times New Roman" w:hint="eastAsia"/>
          <w:sz w:val="28"/>
          <w:szCs w:val="28"/>
        </w:rPr>
        <w:t>持續爭取新藥預算</w:t>
      </w:r>
      <w:r w:rsidRPr="0018787F">
        <w:rPr>
          <w:rFonts w:ascii="Times New Roman" w:eastAsia="標楷體" w:hAnsi="Times New Roman" w:cs="Times New Roman" w:hint="eastAsia"/>
          <w:sz w:val="28"/>
          <w:szCs w:val="28"/>
        </w:rPr>
        <w:t>，</w:t>
      </w:r>
      <w:r w:rsidR="00E512CC" w:rsidRPr="00E512CC">
        <w:rPr>
          <w:rFonts w:ascii="Times New Roman" w:eastAsia="標楷體" w:hAnsi="Times New Roman" w:cs="Times New Roman" w:hint="eastAsia"/>
          <w:sz w:val="28"/>
          <w:szCs w:val="28"/>
        </w:rPr>
        <w:t>參採廠商於「前瞻式新藥及新給付範圍預算推估登錄作業平台」提報預期收載之新藥</w:t>
      </w:r>
      <w:r w:rsidR="00E512CC">
        <w:rPr>
          <w:rFonts w:ascii="Times New Roman" w:eastAsia="標楷體" w:hAnsi="Times New Roman" w:cs="Times New Roman" w:hint="eastAsia"/>
          <w:sz w:val="28"/>
          <w:szCs w:val="28"/>
        </w:rPr>
        <w:t>及</w:t>
      </w:r>
      <w:r w:rsidR="00E512CC" w:rsidRPr="00E512CC">
        <w:rPr>
          <w:rFonts w:ascii="Times New Roman" w:eastAsia="標楷體" w:hAnsi="Times New Roman" w:cs="Times New Roman" w:hint="eastAsia"/>
          <w:sz w:val="28"/>
          <w:szCs w:val="28"/>
        </w:rPr>
        <w:t>擴增給付規定</w:t>
      </w:r>
      <w:r w:rsidR="00E512CC">
        <w:rPr>
          <w:rFonts w:ascii="Times New Roman" w:eastAsia="標楷體" w:hAnsi="Times New Roman" w:cs="Times New Roman" w:hint="eastAsia"/>
          <w:sz w:val="28"/>
          <w:szCs w:val="28"/>
        </w:rPr>
        <w:t>資料</w:t>
      </w:r>
      <w:r w:rsidR="00E512CC" w:rsidRPr="00E512CC">
        <w:rPr>
          <w:rFonts w:ascii="Times New Roman" w:eastAsia="標楷體" w:hAnsi="Times New Roman" w:cs="Times New Roman" w:hint="eastAsia"/>
          <w:sz w:val="28"/>
          <w:szCs w:val="28"/>
        </w:rPr>
        <w:t>，於預算編列年度申報增加之藥費</w:t>
      </w:r>
      <w:r w:rsidR="00E512CC">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並</w:t>
      </w:r>
      <w:r w:rsidRPr="0018787F">
        <w:rPr>
          <w:rFonts w:ascii="Times New Roman" w:eastAsia="標楷體" w:hAnsi="Times New Roman" w:cs="Times New Roman" w:hint="eastAsia"/>
          <w:sz w:val="28"/>
          <w:szCs w:val="28"/>
        </w:rPr>
        <w:t>確保新藥支出</w:t>
      </w:r>
      <w:r>
        <w:rPr>
          <w:rFonts w:ascii="Times New Roman" w:eastAsia="標楷體" w:hAnsi="Times New Roman" w:cs="Times New Roman" w:hint="eastAsia"/>
          <w:sz w:val="28"/>
          <w:szCs w:val="28"/>
        </w:rPr>
        <w:t>在健保總額可</w:t>
      </w:r>
      <w:r w:rsidRPr="0018787F">
        <w:rPr>
          <w:rFonts w:ascii="Times New Roman" w:eastAsia="標楷體" w:hAnsi="Times New Roman" w:cs="Times New Roman" w:hint="eastAsia"/>
          <w:sz w:val="28"/>
          <w:szCs w:val="28"/>
        </w:rPr>
        <w:t>接受的範圍內穩定增長</w:t>
      </w:r>
      <w:r>
        <w:rPr>
          <w:rFonts w:ascii="Times New Roman" w:eastAsia="標楷體" w:hAnsi="Times New Roman" w:cs="Times New Roman" w:hint="eastAsia"/>
          <w:sz w:val="28"/>
          <w:szCs w:val="28"/>
        </w:rPr>
        <w:t>。</w:t>
      </w:r>
      <w:r w:rsidR="00E512CC" w:rsidRPr="007B2D67">
        <w:rPr>
          <w:rFonts w:ascii="Times New Roman" w:eastAsia="標楷體" w:hAnsi="Times New Roman" w:cs="Times New Roman" w:hint="eastAsia"/>
          <w:sz w:val="28"/>
          <w:szCs w:val="28"/>
        </w:rPr>
        <w:t>同時</w:t>
      </w:r>
      <w:r w:rsidR="00E512CC">
        <w:rPr>
          <w:rFonts w:ascii="Times New Roman" w:eastAsia="標楷體" w:hAnsi="Times New Roman" w:cs="Times New Roman" w:hint="eastAsia"/>
          <w:sz w:val="28"/>
          <w:szCs w:val="28"/>
        </w:rPr>
        <w:t>，亦設立</w:t>
      </w:r>
      <w:r w:rsidR="008543C6">
        <w:rPr>
          <w:rFonts w:ascii="Times New Roman" w:eastAsia="標楷體" w:hAnsi="Times New Roman" w:cs="Times New Roman" w:hint="eastAsia"/>
          <w:sz w:val="28"/>
          <w:szCs w:val="28"/>
        </w:rPr>
        <w:t>如</w:t>
      </w:r>
      <w:r w:rsidR="008543C6" w:rsidRPr="008543C6">
        <w:rPr>
          <w:rFonts w:ascii="Times New Roman" w:eastAsia="標楷體" w:hAnsi="Times New Roman" w:cs="Times New Roman" w:hint="eastAsia"/>
          <w:sz w:val="28"/>
          <w:szCs w:val="28"/>
        </w:rPr>
        <w:t>罕藥及血友病專款</w:t>
      </w:r>
      <w:r w:rsidR="008543C6">
        <w:rPr>
          <w:rFonts w:ascii="Times New Roman" w:eastAsia="標楷體" w:hAnsi="Times New Roman" w:cs="Times New Roman" w:hint="eastAsia"/>
          <w:sz w:val="28"/>
          <w:szCs w:val="28"/>
        </w:rPr>
        <w:t>、愛滋病、</w:t>
      </w:r>
      <w:r w:rsidR="008543C6">
        <w:rPr>
          <w:rFonts w:ascii="Times New Roman" w:eastAsia="標楷體" w:hAnsi="Times New Roman" w:cs="Times New Roman" w:hint="eastAsia"/>
          <w:sz w:val="28"/>
          <w:szCs w:val="28"/>
        </w:rPr>
        <w:t>C</w:t>
      </w:r>
      <w:r w:rsidR="008543C6">
        <w:rPr>
          <w:rFonts w:ascii="Times New Roman" w:eastAsia="標楷體" w:hAnsi="Times New Roman" w:cs="Times New Roman" w:hint="eastAsia"/>
          <w:sz w:val="28"/>
          <w:szCs w:val="28"/>
        </w:rPr>
        <w:t>肝口服新藥及暫時性支付</w:t>
      </w:r>
      <w:r w:rsidR="00E512CC">
        <w:rPr>
          <w:rFonts w:ascii="Times New Roman" w:eastAsia="標楷體" w:hAnsi="Times New Roman" w:cs="Times New Roman" w:hint="eastAsia"/>
          <w:sz w:val="28"/>
          <w:szCs w:val="28"/>
        </w:rPr>
        <w:t>專款</w:t>
      </w:r>
      <w:r w:rsidR="008543C6">
        <w:rPr>
          <w:rFonts w:ascii="Times New Roman" w:eastAsia="標楷體" w:hAnsi="Times New Roman" w:cs="Times New Roman" w:hint="eastAsia"/>
          <w:sz w:val="28"/>
          <w:szCs w:val="28"/>
        </w:rPr>
        <w:t>等</w:t>
      </w:r>
      <w:r w:rsidR="00E512CC">
        <w:rPr>
          <w:rFonts w:ascii="Times New Roman" w:eastAsia="標楷體" w:hAnsi="Times New Roman" w:cs="Times New Roman" w:hint="eastAsia"/>
          <w:sz w:val="28"/>
          <w:szCs w:val="28"/>
        </w:rPr>
        <w:t>，透過</w:t>
      </w:r>
      <w:r w:rsidR="008543C6" w:rsidRPr="00E512CC">
        <w:rPr>
          <w:rFonts w:ascii="Times New Roman" w:eastAsia="標楷體" w:hAnsi="Times New Roman" w:cs="Times New Roman" w:hint="eastAsia"/>
          <w:sz w:val="28"/>
          <w:szCs w:val="28"/>
        </w:rPr>
        <w:t>「</w:t>
      </w:r>
      <w:r w:rsidR="00E512CC">
        <w:rPr>
          <w:rFonts w:ascii="Times New Roman" w:eastAsia="標楷體" w:hAnsi="Times New Roman" w:cs="Times New Roman" w:hint="eastAsia"/>
          <w:sz w:val="28"/>
          <w:szCs w:val="28"/>
        </w:rPr>
        <w:t>專款專用</w:t>
      </w:r>
      <w:r w:rsidR="008543C6" w:rsidRPr="00E512CC">
        <w:rPr>
          <w:rFonts w:ascii="Times New Roman" w:eastAsia="標楷體" w:hAnsi="Times New Roman" w:cs="Times New Roman" w:hint="eastAsia"/>
          <w:sz w:val="28"/>
          <w:szCs w:val="28"/>
        </w:rPr>
        <w:t>」</w:t>
      </w:r>
      <w:r w:rsidR="008543C6">
        <w:rPr>
          <w:rFonts w:ascii="Times New Roman" w:eastAsia="標楷體" w:hAnsi="Times New Roman" w:cs="Times New Roman" w:hint="eastAsia"/>
          <w:sz w:val="28"/>
          <w:szCs w:val="28"/>
        </w:rPr>
        <w:t>保障</w:t>
      </w:r>
      <w:r w:rsidR="008543C6" w:rsidRPr="00E512CC">
        <w:rPr>
          <w:rFonts w:ascii="Times New Roman" w:eastAsia="標楷體" w:hAnsi="Times New Roman" w:cs="Times New Roman" w:hint="eastAsia"/>
          <w:sz w:val="28"/>
          <w:szCs w:val="28"/>
        </w:rPr>
        <w:t>重大醫療支出或特殊醫療</w:t>
      </w:r>
      <w:r w:rsidR="008543C6">
        <w:rPr>
          <w:rFonts w:ascii="Times New Roman" w:eastAsia="標楷體" w:hAnsi="Times New Roman" w:cs="Times New Roman" w:hint="eastAsia"/>
          <w:sz w:val="28"/>
          <w:szCs w:val="28"/>
        </w:rPr>
        <w:t>者</w:t>
      </w:r>
      <w:r w:rsidR="008543C6" w:rsidRPr="00E512CC">
        <w:rPr>
          <w:rFonts w:ascii="Times New Roman" w:eastAsia="標楷體" w:hAnsi="Times New Roman" w:cs="Times New Roman" w:hint="eastAsia"/>
          <w:sz w:val="28"/>
          <w:szCs w:val="28"/>
        </w:rPr>
        <w:t>需求</w:t>
      </w:r>
      <w:r w:rsidR="00E512CC">
        <w:rPr>
          <w:rFonts w:ascii="Times New Roman" w:eastAsia="標楷體" w:hAnsi="Times New Roman" w:cs="Times New Roman" w:hint="eastAsia"/>
          <w:sz w:val="28"/>
          <w:szCs w:val="28"/>
        </w:rPr>
        <w:t>，</w:t>
      </w:r>
      <w:r w:rsidR="008543C6">
        <w:rPr>
          <w:rFonts w:ascii="Times New Roman" w:eastAsia="標楷體" w:hAnsi="Times New Roman" w:cs="Times New Roman" w:hint="eastAsia"/>
          <w:sz w:val="28"/>
          <w:szCs w:val="28"/>
        </w:rPr>
        <w:t>並</w:t>
      </w:r>
      <w:r w:rsidR="008543C6" w:rsidRPr="008543C6">
        <w:rPr>
          <w:rFonts w:ascii="Times New Roman" w:eastAsia="標楷體" w:hAnsi="Times New Roman" w:cs="Times New Roman" w:hint="eastAsia"/>
          <w:sz w:val="28"/>
          <w:szCs w:val="28"/>
        </w:rPr>
        <w:t>提高健保財政</w:t>
      </w:r>
      <w:r w:rsidR="008543C6">
        <w:rPr>
          <w:rFonts w:ascii="Times New Roman" w:eastAsia="標楷體" w:hAnsi="Times New Roman" w:cs="Times New Roman" w:hint="eastAsia"/>
          <w:sz w:val="28"/>
          <w:szCs w:val="28"/>
        </w:rPr>
        <w:t>之</w:t>
      </w:r>
      <w:r w:rsidR="008543C6" w:rsidRPr="008543C6">
        <w:rPr>
          <w:rFonts w:ascii="Times New Roman" w:eastAsia="標楷體" w:hAnsi="Times New Roman" w:cs="Times New Roman" w:hint="eastAsia"/>
          <w:sz w:val="28"/>
          <w:szCs w:val="28"/>
        </w:rPr>
        <w:t>彈性與穩定性</w:t>
      </w:r>
      <w:r w:rsidR="008543C6">
        <w:rPr>
          <w:rFonts w:ascii="Times New Roman" w:eastAsia="標楷體" w:hAnsi="Times New Roman" w:cs="Times New Roman" w:hint="eastAsia"/>
          <w:sz w:val="28"/>
          <w:szCs w:val="28"/>
        </w:rPr>
        <w:t>。</w:t>
      </w:r>
    </w:p>
    <w:p w14:paraId="3002EF66" w14:textId="77777777" w:rsidR="008543C6" w:rsidRDefault="0018787F" w:rsidP="008543C6">
      <w:pPr>
        <w:pStyle w:val="a3"/>
        <w:numPr>
          <w:ilvl w:val="0"/>
          <w:numId w:val="9"/>
        </w:numPr>
        <w:spacing w:line="440" w:lineRule="exact"/>
        <w:ind w:leftChars="0" w:left="567" w:hanging="425"/>
        <w:jc w:val="both"/>
        <w:rPr>
          <w:rFonts w:ascii="Times New Roman" w:eastAsia="標楷體" w:hAnsi="Times New Roman" w:cs="Times New Roman"/>
          <w:sz w:val="28"/>
          <w:szCs w:val="28"/>
        </w:rPr>
      </w:pPr>
      <w:bookmarkStart w:id="1" w:name="_Hlk225494102"/>
      <w:r w:rsidRPr="007B2D67">
        <w:rPr>
          <w:rFonts w:ascii="Times New Roman" w:eastAsia="標楷體" w:hAnsi="Times New Roman" w:cs="Times New Roman" w:hint="eastAsia"/>
          <w:sz w:val="28"/>
          <w:szCs w:val="28"/>
        </w:rPr>
        <w:t>113</w:t>
      </w:r>
      <w:r w:rsidRPr="007B2D67">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健保總額</w:t>
      </w:r>
      <w:r w:rsidRPr="007B2D67">
        <w:rPr>
          <w:rFonts w:ascii="Times New Roman" w:eastAsia="標楷體" w:hAnsi="Times New Roman" w:cs="Times New Roman" w:hint="eastAsia"/>
          <w:sz w:val="28"/>
          <w:szCs w:val="28"/>
        </w:rPr>
        <w:t>藥品新醫療科技、給付規定改變及暫時性支付專款預算編列共計</w:t>
      </w:r>
      <w:r w:rsidRPr="007B2D67">
        <w:rPr>
          <w:rFonts w:ascii="Times New Roman" w:eastAsia="標楷體" w:hAnsi="Times New Roman" w:cs="Times New Roman" w:hint="eastAsia"/>
          <w:sz w:val="28"/>
          <w:szCs w:val="28"/>
        </w:rPr>
        <w:t>60.49</w:t>
      </w:r>
      <w:r w:rsidRPr="007B2D67">
        <w:rPr>
          <w:rFonts w:ascii="Times New Roman" w:eastAsia="標楷體" w:hAnsi="Times New Roman" w:cs="Times New Roman" w:hint="eastAsia"/>
          <w:sz w:val="28"/>
          <w:szCs w:val="28"/>
        </w:rPr>
        <w:t>億元，約為</w:t>
      </w:r>
      <w:r w:rsidRPr="007B2D67">
        <w:rPr>
          <w:rFonts w:ascii="Times New Roman" w:eastAsia="標楷體" w:hAnsi="Times New Roman" w:cs="Times New Roman" w:hint="eastAsia"/>
          <w:sz w:val="28"/>
          <w:szCs w:val="28"/>
        </w:rPr>
        <w:t>112</w:t>
      </w:r>
      <w:r w:rsidRPr="007B2D67">
        <w:rPr>
          <w:rFonts w:ascii="Times New Roman" w:eastAsia="標楷體" w:hAnsi="Times New Roman" w:cs="Times New Roman" w:hint="eastAsia"/>
          <w:sz w:val="28"/>
          <w:szCs w:val="28"/>
        </w:rPr>
        <w:t>年的兩倍</w:t>
      </w:r>
      <w:r>
        <w:rPr>
          <w:rFonts w:ascii="Times New Roman" w:eastAsia="標楷體" w:hAnsi="Times New Roman" w:cs="Times New Roman" w:hint="eastAsia"/>
          <w:sz w:val="28"/>
          <w:szCs w:val="28"/>
        </w:rPr>
        <w:t>；而自</w:t>
      </w:r>
      <w:r w:rsidRPr="007B2D67">
        <w:rPr>
          <w:rFonts w:ascii="Times New Roman" w:eastAsia="標楷體" w:hAnsi="Times New Roman" w:cs="Times New Roman" w:hint="eastAsia"/>
          <w:sz w:val="28"/>
          <w:szCs w:val="28"/>
        </w:rPr>
        <w:t>114</w:t>
      </w:r>
      <w:r w:rsidRPr="007B2D67">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起，除健保總額內預算外，亦已</w:t>
      </w:r>
      <w:r w:rsidRPr="007B2D67">
        <w:rPr>
          <w:rFonts w:ascii="Times New Roman" w:eastAsia="標楷體" w:hAnsi="Times New Roman" w:cs="Times New Roman" w:hint="eastAsia"/>
          <w:sz w:val="28"/>
          <w:szCs w:val="28"/>
        </w:rPr>
        <w:t>公務預算挹注</w:t>
      </w:r>
      <w:r w:rsidRPr="007B2D67">
        <w:rPr>
          <w:rFonts w:ascii="Times New Roman" w:eastAsia="標楷體" w:hAnsi="Times New Roman" w:cs="Times New Roman" w:hint="eastAsia"/>
          <w:sz w:val="28"/>
          <w:szCs w:val="28"/>
        </w:rPr>
        <w:t>50</w:t>
      </w:r>
      <w:r w:rsidRPr="007B2D67">
        <w:rPr>
          <w:rFonts w:ascii="Times New Roman" w:eastAsia="標楷體" w:hAnsi="Times New Roman" w:cs="Times New Roman" w:hint="eastAsia"/>
          <w:sz w:val="28"/>
          <w:szCs w:val="28"/>
        </w:rPr>
        <w:t>億元設立之「癌症新藥暫時性支付專款」</w:t>
      </w:r>
      <w:r>
        <w:rPr>
          <w:rFonts w:ascii="Times New Roman" w:eastAsia="標楷體" w:hAnsi="Times New Roman" w:cs="Times New Roman" w:hint="eastAsia"/>
          <w:sz w:val="28"/>
          <w:szCs w:val="28"/>
        </w:rPr>
        <w:t>，新藥相關預算約</w:t>
      </w:r>
      <w:r w:rsidRPr="007B2D67">
        <w:rPr>
          <w:rFonts w:ascii="Times New Roman" w:eastAsia="標楷體" w:hAnsi="Times New Roman" w:cs="Times New Roman" w:hint="eastAsia"/>
          <w:sz w:val="28"/>
          <w:szCs w:val="28"/>
        </w:rPr>
        <w:t>101.27</w:t>
      </w:r>
      <w:r w:rsidRPr="007B2D67">
        <w:rPr>
          <w:rFonts w:ascii="Times New Roman" w:eastAsia="標楷體" w:hAnsi="Times New Roman" w:cs="Times New Roman" w:hint="eastAsia"/>
          <w:sz w:val="28"/>
          <w:szCs w:val="28"/>
        </w:rPr>
        <w:t>億元</w:t>
      </w:r>
      <w:r>
        <w:rPr>
          <w:rFonts w:ascii="Times New Roman" w:eastAsia="標楷體" w:hAnsi="Times New Roman" w:cs="Times New Roman" w:hint="eastAsia"/>
          <w:sz w:val="28"/>
          <w:szCs w:val="28"/>
        </w:rPr>
        <w:t>，突破百億規模，</w:t>
      </w:r>
      <w:r>
        <w:rPr>
          <w:rFonts w:ascii="Times New Roman" w:eastAsia="標楷體" w:hAnsi="Times New Roman" w:cs="Times New Roman" w:hint="eastAsia"/>
          <w:sz w:val="28"/>
          <w:szCs w:val="28"/>
        </w:rPr>
        <w:t>115</w:t>
      </w:r>
      <w:r>
        <w:rPr>
          <w:rFonts w:ascii="Times New Roman" w:eastAsia="標楷體" w:hAnsi="Times New Roman" w:cs="Times New Roman" w:hint="eastAsia"/>
          <w:sz w:val="28"/>
          <w:szCs w:val="28"/>
        </w:rPr>
        <w:t>年亦較</w:t>
      </w:r>
      <w:r>
        <w:rPr>
          <w:rFonts w:ascii="Times New Roman" w:eastAsia="標楷體" w:hAnsi="Times New Roman" w:cs="Times New Roman" w:hint="eastAsia"/>
          <w:sz w:val="28"/>
          <w:szCs w:val="28"/>
        </w:rPr>
        <w:t>114</w:t>
      </w:r>
      <w:r>
        <w:rPr>
          <w:rFonts w:ascii="Times New Roman" w:eastAsia="標楷體" w:hAnsi="Times New Roman" w:cs="Times New Roman" w:hint="eastAsia"/>
          <w:sz w:val="28"/>
          <w:szCs w:val="28"/>
        </w:rPr>
        <w:t>年微幅成長達約</w:t>
      </w:r>
      <w:r w:rsidRPr="007B2D67">
        <w:rPr>
          <w:rFonts w:ascii="Times New Roman" w:eastAsia="標楷體" w:hAnsi="Times New Roman" w:cs="Times New Roman" w:hint="eastAsia"/>
          <w:sz w:val="28"/>
          <w:szCs w:val="28"/>
        </w:rPr>
        <w:t>104.38</w:t>
      </w:r>
      <w:r w:rsidRPr="007B2D67">
        <w:rPr>
          <w:rFonts w:ascii="Times New Roman" w:eastAsia="標楷體" w:hAnsi="Times New Roman" w:cs="Times New Roman" w:hint="eastAsia"/>
          <w:sz w:val="28"/>
          <w:szCs w:val="28"/>
        </w:rPr>
        <w:t>億元</w:t>
      </w:r>
      <w:r w:rsidR="00E512CC">
        <w:rPr>
          <w:rFonts w:ascii="Times New Roman" w:eastAsia="標楷體" w:hAnsi="Times New Roman" w:cs="Times New Roman" w:hint="eastAsia"/>
          <w:sz w:val="28"/>
          <w:szCs w:val="28"/>
        </w:rPr>
        <w:t>。</w:t>
      </w:r>
    </w:p>
    <w:bookmarkEnd w:id="1"/>
    <w:p w14:paraId="0B0616B2" w14:textId="22035A4D" w:rsidR="00664E9E" w:rsidRPr="006F3BBB" w:rsidRDefault="00180B50" w:rsidP="006F3BBB">
      <w:pPr>
        <w:pStyle w:val="a3"/>
        <w:numPr>
          <w:ilvl w:val="0"/>
          <w:numId w:val="9"/>
        </w:numPr>
        <w:spacing w:line="440" w:lineRule="exact"/>
        <w:ind w:leftChars="0" w:left="567" w:hanging="425"/>
        <w:jc w:val="both"/>
        <w:rPr>
          <w:rFonts w:ascii="Times New Roman" w:eastAsia="標楷體" w:hAnsi="Times New Roman" w:cs="Times New Roman"/>
          <w:sz w:val="28"/>
          <w:szCs w:val="28"/>
        </w:rPr>
      </w:pPr>
      <w:r w:rsidRPr="008543C6">
        <w:rPr>
          <w:rFonts w:ascii="Times New Roman" w:eastAsia="標楷體" w:hAnsi="Times New Roman" w:cs="Times New Roman" w:hint="eastAsia"/>
          <w:sz w:val="28"/>
          <w:szCs w:val="28"/>
        </w:rPr>
        <w:t>近</w:t>
      </w:r>
      <w:r w:rsidRPr="008543C6">
        <w:rPr>
          <w:rFonts w:ascii="Times New Roman" w:eastAsia="標楷體" w:hAnsi="Times New Roman" w:cs="Times New Roman" w:hint="eastAsia"/>
          <w:sz w:val="28"/>
          <w:szCs w:val="28"/>
        </w:rPr>
        <w:t>5</w:t>
      </w:r>
      <w:r w:rsidRPr="008543C6">
        <w:rPr>
          <w:rFonts w:ascii="Times New Roman" w:eastAsia="標楷體" w:hAnsi="Times New Roman" w:cs="Times New Roman" w:hint="eastAsia"/>
          <w:sz w:val="28"/>
          <w:szCs w:val="28"/>
        </w:rPr>
        <w:t>年藥費平均成長率</w:t>
      </w:r>
      <w:r w:rsidRPr="008543C6">
        <w:rPr>
          <w:rFonts w:ascii="Times New Roman" w:eastAsia="標楷體" w:hAnsi="Times New Roman" w:cs="Times New Roman"/>
          <w:sz w:val="28"/>
          <w:szCs w:val="28"/>
        </w:rPr>
        <w:t>3.91%</w:t>
      </w:r>
      <w:r w:rsidR="004E48F2" w:rsidRPr="008543C6">
        <w:rPr>
          <w:rFonts w:ascii="Times New Roman" w:eastAsia="標楷體" w:hAnsi="Times New Roman" w:cs="Times New Roman" w:hint="eastAsia"/>
          <w:sz w:val="28"/>
          <w:szCs w:val="28"/>
        </w:rPr>
        <w:t>，</w:t>
      </w:r>
      <w:r w:rsidR="006F3BBB">
        <w:rPr>
          <w:rFonts w:ascii="Times New Roman" w:eastAsia="標楷體" w:hAnsi="Times New Roman" w:cs="Times New Roman" w:hint="eastAsia"/>
          <w:sz w:val="28"/>
          <w:szCs w:val="28"/>
        </w:rPr>
        <w:t>略</w:t>
      </w:r>
      <w:r w:rsidRPr="008543C6">
        <w:rPr>
          <w:rFonts w:ascii="Times New Roman" w:eastAsia="標楷體" w:hAnsi="Times New Roman" w:cs="Times New Roman" w:hint="eastAsia"/>
          <w:sz w:val="28"/>
          <w:szCs w:val="28"/>
        </w:rPr>
        <w:t>高於健保總額平均成長率</w:t>
      </w:r>
      <w:r w:rsidRPr="008543C6">
        <w:rPr>
          <w:rFonts w:ascii="Times New Roman" w:eastAsia="標楷體" w:hAnsi="Times New Roman" w:cs="Times New Roman"/>
          <w:sz w:val="28"/>
          <w:szCs w:val="28"/>
        </w:rPr>
        <w:t>3.85%</w:t>
      </w:r>
      <w:r w:rsidR="008543C6">
        <w:rPr>
          <w:rFonts w:ascii="Times New Roman" w:eastAsia="標楷體" w:hAnsi="Times New Roman" w:cs="Times New Roman" w:hint="eastAsia"/>
          <w:sz w:val="28"/>
          <w:szCs w:val="28"/>
        </w:rPr>
        <w:t>。</w:t>
      </w:r>
    </w:p>
    <w:p w14:paraId="5F8BEDB6" w14:textId="1E5B59D4" w:rsidR="00664E9E" w:rsidRPr="00AE08FE" w:rsidRDefault="00664E9E" w:rsidP="00664E9E">
      <w:pPr>
        <w:pStyle w:val="a3"/>
        <w:numPr>
          <w:ilvl w:val="0"/>
          <w:numId w:val="5"/>
        </w:numPr>
        <w:spacing w:line="440" w:lineRule="exact"/>
        <w:ind w:leftChars="0"/>
        <w:jc w:val="both"/>
        <w:rPr>
          <w:rFonts w:ascii="Times New Roman" w:eastAsia="標楷體" w:hAnsi="Times New Roman" w:cs="Times New Roman"/>
          <w:sz w:val="28"/>
          <w:szCs w:val="28"/>
        </w:rPr>
      </w:pPr>
      <w:r w:rsidRPr="00180B50">
        <w:rPr>
          <w:rFonts w:ascii="Times New Roman" w:eastAsia="標楷體" w:hAnsi="Times New Roman" w:cs="Times New Roman"/>
          <w:color w:val="000000"/>
          <w:sz w:val="28"/>
          <w:szCs w:val="28"/>
        </w:rPr>
        <w:t>透過提升學名藥與生物相似藥使用率、</w:t>
      </w:r>
      <w:r>
        <w:rPr>
          <w:rFonts w:ascii="Times New Roman" w:eastAsia="標楷體" w:hAnsi="Times New Roman" w:cs="Times New Roman" w:hint="eastAsia"/>
          <w:color w:val="000000"/>
          <w:sz w:val="28"/>
          <w:szCs w:val="28"/>
        </w:rPr>
        <w:t>實施</w:t>
      </w:r>
      <w:r w:rsidRPr="00180B50">
        <w:rPr>
          <w:rFonts w:ascii="Times New Roman" w:eastAsia="標楷體" w:hAnsi="Times New Roman" w:cs="Times New Roman"/>
          <w:color w:val="000000"/>
          <w:sz w:val="28"/>
          <w:szCs w:val="28"/>
        </w:rPr>
        <w:t>專利到期</w:t>
      </w:r>
      <w:r>
        <w:rPr>
          <w:rFonts w:ascii="Times New Roman" w:eastAsia="標楷體" w:hAnsi="Times New Roman" w:cs="Times New Roman" w:hint="eastAsia"/>
          <w:color w:val="000000"/>
          <w:sz w:val="28"/>
          <w:szCs w:val="28"/>
        </w:rPr>
        <w:t>之</w:t>
      </w:r>
      <w:r w:rsidRPr="00180B50">
        <w:rPr>
          <w:rFonts w:ascii="Times New Roman" w:eastAsia="標楷體" w:hAnsi="Times New Roman" w:cs="Times New Roman"/>
          <w:color w:val="000000"/>
          <w:sz w:val="28"/>
          <w:szCs w:val="28"/>
        </w:rPr>
        <w:t>藥價調整，以及</w:t>
      </w:r>
      <w:r>
        <w:rPr>
          <w:rFonts w:ascii="Times New Roman" w:eastAsia="標楷體" w:hAnsi="Times New Roman" w:cs="Times New Roman" w:hint="eastAsia"/>
          <w:color w:val="000000"/>
          <w:sz w:val="28"/>
          <w:szCs w:val="28"/>
        </w:rPr>
        <w:t>落實</w:t>
      </w:r>
      <w:r w:rsidRPr="00180B50">
        <w:rPr>
          <w:rFonts w:ascii="Times New Roman" w:eastAsia="標楷體" w:hAnsi="Times New Roman" w:cs="Times New Roman"/>
          <w:color w:val="000000"/>
          <w:sz w:val="28"/>
          <w:szCs w:val="28"/>
        </w:rPr>
        <w:t>既有藥品的臨床價值再評估，</w:t>
      </w:r>
      <w:r w:rsidRPr="00664E9E">
        <w:rPr>
          <w:rFonts w:ascii="Times New Roman" w:eastAsia="標楷體" w:hAnsi="Times New Roman" w:cs="Times New Roman" w:hint="eastAsia"/>
          <w:color w:val="000000"/>
          <w:sz w:val="28"/>
          <w:szCs w:val="28"/>
        </w:rPr>
        <w:t>持續監測追蹤已給付</w:t>
      </w:r>
      <w:r>
        <w:rPr>
          <w:rFonts w:ascii="Times New Roman" w:eastAsia="標楷體" w:hAnsi="Times New Roman" w:cs="Times New Roman" w:hint="eastAsia"/>
          <w:color w:val="000000"/>
          <w:sz w:val="28"/>
          <w:szCs w:val="28"/>
        </w:rPr>
        <w:t>藥品</w:t>
      </w:r>
      <w:r w:rsidRPr="00664E9E">
        <w:rPr>
          <w:rFonts w:ascii="Times New Roman" w:eastAsia="標楷體" w:hAnsi="Times New Roman" w:cs="Times New Roman" w:hint="eastAsia"/>
          <w:color w:val="000000"/>
          <w:sz w:val="28"/>
          <w:szCs w:val="28"/>
        </w:rPr>
        <w:t>，將低效益的醫療科技系統化轉移到高效益的介入措施及醫療科技，使醫療資源再</w:t>
      </w:r>
      <w:r w:rsidRPr="00664E9E">
        <w:rPr>
          <w:rFonts w:ascii="Times New Roman" w:eastAsia="標楷體" w:hAnsi="Times New Roman" w:cs="Times New Roman" w:hint="eastAsia"/>
          <w:color w:val="000000"/>
          <w:sz w:val="28"/>
          <w:szCs w:val="28"/>
        </w:rPr>
        <w:lastRenderedPageBreak/>
        <w:t>配置的過程達到最大效率化，</w:t>
      </w:r>
      <w:r>
        <w:rPr>
          <w:rFonts w:ascii="Times New Roman" w:eastAsia="標楷體" w:hAnsi="Times New Roman" w:cs="Times New Roman" w:hint="eastAsia"/>
          <w:color w:val="000000"/>
          <w:sz w:val="28"/>
          <w:szCs w:val="28"/>
        </w:rPr>
        <w:t>讓</w:t>
      </w:r>
      <w:r w:rsidRPr="00180B50">
        <w:rPr>
          <w:rFonts w:ascii="Times New Roman" w:eastAsia="標楷體" w:hAnsi="Times New Roman" w:cs="Times New Roman"/>
          <w:color w:val="000000"/>
          <w:sz w:val="28"/>
          <w:szCs w:val="28"/>
        </w:rPr>
        <w:t>健保資源配置更具效率與永續性。</w:t>
      </w:r>
    </w:p>
    <w:p w14:paraId="62C7072E" w14:textId="7454FAFB" w:rsidR="00AE08FE" w:rsidRPr="00E32B04" w:rsidRDefault="00E32B04" w:rsidP="00E32B04">
      <w:pPr>
        <w:pStyle w:val="a3"/>
        <w:numPr>
          <w:ilvl w:val="0"/>
          <w:numId w:val="5"/>
        </w:numPr>
        <w:spacing w:line="44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健保署也持續推動、檢討藥品政策，</w:t>
      </w:r>
      <w:r w:rsidR="00507F2C">
        <w:rPr>
          <w:rFonts w:ascii="Times New Roman" w:eastAsia="標楷體" w:hAnsi="Times New Roman" w:cs="Times New Roman"/>
          <w:sz w:val="28"/>
          <w:szCs w:val="28"/>
        </w:rPr>
        <w:t>114</w:t>
      </w:r>
      <w:r>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4</w:t>
      </w:r>
      <w:r>
        <w:rPr>
          <w:rFonts w:ascii="Times New Roman" w:eastAsia="標楷體" w:hAnsi="Times New Roman" w:cs="Times New Roman" w:hint="eastAsia"/>
          <w:sz w:val="28"/>
          <w:szCs w:val="28"/>
        </w:rPr>
        <w:t>月</w:t>
      </w:r>
      <w:r>
        <w:rPr>
          <w:rFonts w:ascii="Times New Roman" w:eastAsia="標楷體" w:hAnsi="Times New Roman" w:cs="Times New Roman" w:hint="eastAsia"/>
          <w:sz w:val="28"/>
          <w:szCs w:val="28"/>
        </w:rPr>
        <w:t>26</w:t>
      </w:r>
      <w:r>
        <w:rPr>
          <w:rFonts w:ascii="Times New Roman" w:eastAsia="標楷體" w:hAnsi="Times New Roman" w:cs="Times New Roman" w:hint="eastAsia"/>
          <w:sz w:val="28"/>
          <w:szCs w:val="28"/>
        </w:rPr>
        <w:t>日修正公告之全民健康保險藥品價格調整作業辦法，其中第</w:t>
      </w:r>
      <w:r>
        <w:rPr>
          <w:rFonts w:ascii="Times New Roman" w:eastAsia="標楷體" w:hAnsi="Times New Roman" w:cs="Times New Roman" w:hint="eastAsia"/>
          <w:sz w:val="28"/>
          <w:szCs w:val="28"/>
        </w:rPr>
        <w:t>18</w:t>
      </w:r>
      <w:r>
        <w:rPr>
          <w:rFonts w:ascii="Times New Roman" w:eastAsia="標楷體" w:hAnsi="Times New Roman" w:cs="Times New Roman" w:hint="eastAsia"/>
          <w:sz w:val="28"/>
          <w:szCs w:val="28"/>
        </w:rPr>
        <w:t>條修正後，第二大類藥品</w:t>
      </w:r>
      <w:r w:rsidRPr="002B13AC">
        <w:rPr>
          <w:rFonts w:ascii="Times New Roman" w:eastAsia="標楷體" w:hAnsi="Times New Roman" w:hint="eastAsia"/>
          <w:sz w:val="28"/>
          <w:szCs w:val="28"/>
        </w:rPr>
        <w:t>每季檢討逾專利期第一年之藥品及與其同分組項目，第二大類藥品調整之總金額，得併入新藥預算</w:t>
      </w:r>
      <w:r>
        <w:rPr>
          <w:rFonts w:ascii="Times New Roman" w:eastAsia="標楷體" w:hAnsi="Times New Roman" w:hint="eastAsia"/>
          <w:sz w:val="28"/>
          <w:szCs w:val="28"/>
        </w:rPr>
        <w:t>；而藥價調整之機制，在</w:t>
      </w:r>
      <w:r>
        <w:rPr>
          <w:rFonts w:ascii="Times New Roman" w:eastAsia="標楷體" w:hAnsi="Times New Roman" w:hint="eastAsia"/>
          <w:sz w:val="28"/>
          <w:szCs w:val="28"/>
        </w:rPr>
        <w:t>115</w:t>
      </w:r>
      <w:r w:rsidR="00F62560">
        <w:rPr>
          <w:rFonts w:ascii="Times New Roman" w:eastAsia="標楷體" w:hAnsi="Times New Roman" w:hint="eastAsia"/>
          <w:sz w:val="28"/>
          <w:szCs w:val="28"/>
        </w:rPr>
        <w:t>下半</w:t>
      </w:r>
      <w:r>
        <w:rPr>
          <w:rFonts w:ascii="Times New Roman" w:eastAsia="標楷體" w:hAnsi="Times New Roman" w:hint="eastAsia"/>
          <w:sz w:val="28"/>
          <w:szCs w:val="28"/>
        </w:rPr>
        <w:t>年也會持續召開溝通討論會議，就</w:t>
      </w:r>
      <w:r>
        <w:rPr>
          <w:rFonts w:ascii="Times New Roman" w:eastAsia="標楷體" w:hAnsi="Times New Roman" w:hint="eastAsia"/>
          <w:sz w:val="28"/>
          <w:szCs w:val="28"/>
        </w:rPr>
        <w:t>DET</w:t>
      </w:r>
      <w:r>
        <w:rPr>
          <w:rFonts w:ascii="Times New Roman" w:eastAsia="標楷體" w:hAnsi="Times New Roman" w:hint="eastAsia"/>
          <w:sz w:val="28"/>
          <w:szCs w:val="28"/>
        </w:rPr>
        <w:t>之適用範圍、基期值與成長率進行</w:t>
      </w:r>
      <w:r w:rsidR="00C639C6">
        <w:rPr>
          <w:rFonts w:ascii="Times New Roman" w:eastAsia="標楷體" w:hAnsi="Times New Roman" w:hint="eastAsia"/>
          <w:sz w:val="28"/>
          <w:szCs w:val="28"/>
        </w:rPr>
        <w:t>優先</w:t>
      </w:r>
      <w:r>
        <w:rPr>
          <w:rFonts w:ascii="Times New Roman" w:eastAsia="標楷體" w:hAnsi="Times New Roman" w:hint="eastAsia"/>
          <w:sz w:val="28"/>
          <w:szCs w:val="28"/>
        </w:rPr>
        <w:t>檢討。</w:t>
      </w:r>
    </w:p>
    <w:p w14:paraId="3C932E70" w14:textId="77777777" w:rsidR="007B2D67" w:rsidRDefault="007B2D67" w:rsidP="00180B50">
      <w:pPr>
        <w:spacing w:line="440" w:lineRule="exact"/>
        <w:jc w:val="both"/>
        <w:rPr>
          <w:rFonts w:ascii="Times New Roman" w:eastAsia="標楷體" w:hAnsi="Times New Roman" w:cs="Times New Roman"/>
          <w:color w:val="000000"/>
          <w:sz w:val="28"/>
          <w:szCs w:val="28"/>
          <w:shd w:val="pct15" w:color="auto" w:fill="FFFFFF"/>
        </w:rPr>
      </w:pPr>
    </w:p>
    <w:p w14:paraId="71EFAA17" w14:textId="7E821ABB" w:rsidR="004E48F2" w:rsidRPr="00664E9E" w:rsidRDefault="004E48F2" w:rsidP="00180B50">
      <w:pPr>
        <w:spacing w:line="440" w:lineRule="exact"/>
        <w:jc w:val="both"/>
        <w:rPr>
          <w:rFonts w:ascii="Times New Roman" w:eastAsia="標楷體" w:hAnsi="Times New Roman" w:cs="Times New Roman"/>
          <w:color w:val="000000"/>
          <w:sz w:val="28"/>
          <w:szCs w:val="28"/>
        </w:rPr>
      </w:pPr>
      <w:r w:rsidRPr="00664E9E">
        <w:rPr>
          <w:rFonts w:ascii="Times New Roman" w:eastAsia="標楷體" w:hAnsi="Times New Roman" w:cs="Times New Roman" w:hint="eastAsia"/>
          <w:color w:val="000000"/>
          <w:sz w:val="28"/>
          <w:szCs w:val="28"/>
          <w:shd w:val="pct15" w:color="auto" w:fill="FFFFFF"/>
        </w:rPr>
        <w:t>其他補充</w:t>
      </w:r>
    </w:p>
    <w:p w14:paraId="3EBF7DDE" w14:textId="13805F4D" w:rsidR="007B2D67" w:rsidRDefault="006F3BBB" w:rsidP="00664E9E">
      <w:pPr>
        <w:pStyle w:val="a3"/>
        <w:numPr>
          <w:ilvl w:val="0"/>
          <w:numId w:val="6"/>
        </w:numPr>
        <w:spacing w:line="440" w:lineRule="exact"/>
        <w:ind w:leftChars="0"/>
        <w:jc w:val="both"/>
        <w:rPr>
          <w:rFonts w:ascii="Times New Roman" w:eastAsia="標楷體" w:hAnsi="Times New Roman" w:cs="Times New Roman"/>
          <w:color w:val="000000"/>
          <w:sz w:val="28"/>
          <w:szCs w:val="28"/>
        </w:rPr>
      </w:pPr>
      <w:r w:rsidRPr="006F3BBB">
        <w:rPr>
          <w:rFonts w:ascii="Times New Roman" w:eastAsia="標楷體" w:hAnsi="Times New Roman" w:cs="Times New Roman" w:hint="eastAsia"/>
          <w:color w:val="000000"/>
          <w:sz w:val="28"/>
          <w:szCs w:val="28"/>
        </w:rPr>
        <w:t>近</w:t>
      </w:r>
      <w:r w:rsidRPr="006F3BBB">
        <w:rPr>
          <w:rFonts w:ascii="Times New Roman" w:eastAsia="標楷體" w:hAnsi="Times New Roman" w:cs="Times New Roman" w:hint="eastAsia"/>
          <w:color w:val="000000"/>
          <w:sz w:val="28"/>
          <w:szCs w:val="28"/>
        </w:rPr>
        <w:t>5</w:t>
      </w:r>
      <w:r w:rsidRPr="006F3BBB">
        <w:rPr>
          <w:rFonts w:ascii="Times New Roman" w:eastAsia="標楷體" w:hAnsi="Times New Roman" w:cs="Times New Roman" w:hint="eastAsia"/>
          <w:color w:val="000000"/>
          <w:sz w:val="28"/>
          <w:szCs w:val="28"/>
        </w:rPr>
        <w:t>年</w:t>
      </w:r>
      <w:r>
        <w:rPr>
          <w:rFonts w:ascii="Times New Roman" w:eastAsia="標楷體" w:hAnsi="Times New Roman" w:cs="Times New Roman" w:hint="eastAsia"/>
          <w:color w:val="000000"/>
          <w:sz w:val="28"/>
          <w:szCs w:val="28"/>
        </w:rPr>
        <w:t>健保總額及</w:t>
      </w:r>
      <w:r w:rsidRPr="006F3BBB">
        <w:rPr>
          <w:rFonts w:ascii="Times New Roman" w:eastAsia="標楷體" w:hAnsi="Times New Roman" w:cs="Times New Roman" w:hint="eastAsia"/>
          <w:color w:val="000000"/>
          <w:sz w:val="28"/>
          <w:szCs w:val="28"/>
        </w:rPr>
        <w:t>藥費平均成長率</w:t>
      </w:r>
    </w:p>
    <w:tbl>
      <w:tblPr>
        <w:tblStyle w:val="a5"/>
        <w:tblW w:w="0" w:type="auto"/>
        <w:tblInd w:w="279" w:type="dxa"/>
        <w:tblLook w:val="04A0" w:firstRow="1" w:lastRow="0" w:firstColumn="1" w:lastColumn="0" w:noHBand="0" w:noVBand="1"/>
      </w:tblPr>
      <w:tblGrid>
        <w:gridCol w:w="850"/>
        <w:gridCol w:w="2410"/>
        <w:gridCol w:w="1701"/>
        <w:gridCol w:w="1701"/>
        <w:gridCol w:w="1702"/>
      </w:tblGrid>
      <w:tr w:rsidR="00BA1A4F" w:rsidRPr="00BA1A4F" w14:paraId="34CA1EC6" w14:textId="77777777" w:rsidTr="006F3BBB">
        <w:trPr>
          <w:trHeight w:val="397"/>
        </w:trPr>
        <w:tc>
          <w:tcPr>
            <w:tcW w:w="850" w:type="dxa"/>
            <w:shd w:val="clear" w:color="auto" w:fill="F2F2F2" w:themeFill="background1" w:themeFillShade="F2"/>
            <w:noWrap/>
            <w:vAlign w:val="center"/>
            <w:hideMark/>
          </w:tcPr>
          <w:p w14:paraId="3ED74190" w14:textId="5E2360F3"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年度</w:t>
            </w:r>
          </w:p>
        </w:tc>
        <w:tc>
          <w:tcPr>
            <w:tcW w:w="2410" w:type="dxa"/>
            <w:shd w:val="clear" w:color="auto" w:fill="F2F2F2" w:themeFill="background1" w:themeFillShade="F2"/>
            <w:noWrap/>
            <w:vAlign w:val="center"/>
            <w:hideMark/>
          </w:tcPr>
          <w:p w14:paraId="62FB0E72" w14:textId="25439F60"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健保總額預算</w:t>
            </w:r>
            <w:r w:rsidRPr="006F3BBB">
              <w:rPr>
                <w:rFonts w:ascii="Times New Roman" w:eastAsia="標楷體" w:hAnsi="Times New Roman" w:cs="Times New Roman" w:hint="eastAsia"/>
                <w:b/>
                <w:bCs/>
                <w:color w:val="000000"/>
              </w:rPr>
              <w:t>(</w:t>
            </w:r>
            <w:r w:rsidRPr="006F3BBB">
              <w:rPr>
                <w:rFonts w:ascii="Times New Roman" w:eastAsia="標楷體" w:hAnsi="Times New Roman" w:cs="Times New Roman" w:hint="eastAsia"/>
                <w:b/>
                <w:bCs/>
                <w:color w:val="000000"/>
              </w:rPr>
              <w:t>億點</w:t>
            </w:r>
            <w:r w:rsidRPr="006F3BBB">
              <w:rPr>
                <w:rFonts w:ascii="Times New Roman" w:eastAsia="標楷體" w:hAnsi="Times New Roman" w:cs="Times New Roman" w:hint="eastAsia"/>
                <w:b/>
                <w:bCs/>
                <w:color w:val="000000"/>
              </w:rPr>
              <w:t>)</w:t>
            </w:r>
          </w:p>
        </w:tc>
        <w:tc>
          <w:tcPr>
            <w:tcW w:w="1701" w:type="dxa"/>
            <w:shd w:val="clear" w:color="auto" w:fill="F2F2F2" w:themeFill="background1" w:themeFillShade="F2"/>
            <w:noWrap/>
            <w:vAlign w:val="center"/>
            <w:hideMark/>
          </w:tcPr>
          <w:p w14:paraId="54662326" w14:textId="6D857E86"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藥費</w:t>
            </w:r>
            <w:r w:rsidRPr="006F3BBB">
              <w:rPr>
                <w:rFonts w:ascii="Times New Roman" w:eastAsia="標楷體" w:hAnsi="Times New Roman" w:cs="Times New Roman" w:hint="eastAsia"/>
                <w:b/>
                <w:bCs/>
                <w:color w:val="000000"/>
              </w:rPr>
              <w:t>(</w:t>
            </w:r>
            <w:r w:rsidRPr="006F3BBB">
              <w:rPr>
                <w:rFonts w:ascii="Times New Roman" w:eastAsia="標楷體" w:hAnsi="Times New Roman" w:cs="Times New Roman" w:hint="eastAsia"/>
                <w:b/>
                <w:bCs/>
                <w:color w:val="000000"/>
              </w:rPr>
              <w:t>億點</w:t>
            </w:r>
            <w:r w:rsidRPr="006F3BBB">
              <w:rPr>
                <w:rFonts w:ascii="Times New Roman" w:eastAsia="標楷體" w:hAnsi="Times New Roman" w:cs="Times New Roman" w:hint="eastAsia"/>
                <w:b/>
                <w:bCs/>
                <w:color w:val="000000"/>
              </w:rPr>
              <w:t>)</w:t>
            </w:r>
          </w:p>
        </w:tc>
        <w:tc>
          <w:tcPr>
            <w:tcW w:w="1701" w:type="dxa"/>
            <w:shd w:val="clear" w:color="auto" w:fill="F2F2F2" w:themeFill="background1" w:themeFillShade="F2"/>
            <w:noWrap/>
            <w:vAlign w:val="center"/>
            <w:hideMark/>
          </w:tcPr>
          <w:p w14:paraId="6D5F4CAF"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總額成長率</w:t>
            </w:r>
          </w:p>
        </w:tc>
        <w:tc>
          <w:tcPr>
            <w:tcW w:w="1702" w:type="dxa"/>
            <w:shd w:val="clear" w:color="auto" w:fill="F2F2F2" w:themeFill="background1" w:themeFillShade="F2"/>
            <w:noWrap/>
            <w:vAlign w:val="center"/>
            <w:hideMark/>
          </w:tcPr>
          <w:p w14:paraId="7C0DB448"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藥費成長率</w:t>
            </w:r>
          </w:p>
        </w:tc>
      </w:tr>
      <w:tr w:rsidR="00BA1A4F" w:rsidRPr="00BA1A4F" w14:paraId="7F1B64FB" w14:textId="77777777" w:rsidTr="006F3BBB">
        <w:trPr>
          <w:trHeight w:val="397"/>
        </w:trPr>
        <w:tc>
          <w:tcPr>
            <w:tcW w:w="850" w:type="dxa"/>
            <w:noWrap/>
            <w:vAlign w:val="center"/>
            <w:hideMark/>
          </w:tcPr>
          <w:p w14:paraId="7B2C9F19"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109</w:t>
            </w:r>
          </w:p>
        </w:tc>
        <w:tc>
          <w:tcPr>
            <w:tcW w:w="2410" w:type="dxa"/>
            <w:noWrap/>
            <w:vAlign w:val="center"/>
            <w:hideMark/>
          </w:tcPr>
          <w:p w14:paraId="79E08341" w14:textId="674E5BEB"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7,526</w:t>
            </w:r>
          </w:p>
        </w:tc>
        <w:tc>
          <w:tcPr>
            <w:tcW w:w="1701" w:type="dxa"/>
            <w:noWrap/>
            <w:vAlign w:val="center"/>
            <w:hideMark/>
          </w:tcPr>
          <w:p w14:paraId="35185A83" w14:textId="44292BE6"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2,175</w:t>
            </w:r>
          </w:p>
        </w:tc>
        <w:tc>
          <w:tcPr>
            <w:tcW w:w="1701" w:type="dxa"/>
            <w:noWrap/>
            <w:vAlign w:val="center"/>
            <w:hideMark/>
          </w:tcPr>
          <w:p w14:paraId="02551DD9"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5.2%</w:t>
            </w:r>
          </w:p>
        </w:tc>
        <w:tc>
          <w:tcPr>
            <w:tcW w:w="1702" w:type="dxa"/>
            <w:noWrap/>
            <w:vAlign w:val="center"/>
            <w:hideMark/>
          </w:tcPr>
          <w:p w14:paraId="1666C189"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4.4%</w:t>
            </w:r>
          </w:p>
        </w:tc>
      </w:tr>
      <w:tr w:rsidR="00BA1A4F" w:rsidRPr="00BA1A4F" w14:paraId="6EF7844D" w14:textId="77777777" w:rsidTr="006F3BBB">
        <w:trPr>
          <w:trHeight w:val="397"/>
        </w:trPr>
        <w:tc>
          <w:tcPr>
            <w:tcW w:w="850" w:type="dxa"/>
            <w:noWrap/>
            <w:vAlign w:val="center"/>
            <w:hideMark/>
          </w:tcPr>
          <w:p w14:paraId="58FDFB93"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110</w:t>
            </w:r>
          </w:p>
        </w:tc>
        <w:tc>
          <w:tcPr>
            <w:tcW w:w="2410" w:type="dxa"/>
            <w:noWrap/>
            <w:vAlign w:val="center"/>
            <w:hideMark/>
          </w:tcPr>
          <w:p w14:paraId="22A92320" w14:textId="7A85F51C"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7,836</w:t>
            </w:r>
          </w:p>
        </w:tc>
        <w:tc>
          <w:tcPr>
            <w:tcW w:w="1701" w:type="dxa"/>
            <w:noWrap/>
            <w:vAlign w:val="center"/>
            <w:hideMark/>
          </w:tcPr>
          <w:p w14:paraId="4DB54B9B" w14:textId="00193C38"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2,247</w:t>
            </w:r>
          </w:p>
        </w:tc>
        <w:tc>
          <w:tcPr>
            <w:tcW w:w="1701" w:type="dxa"/>
            <w:noWrap/>
            <w:vAlign w:val="center"/>
            <w:hideMark/>
          </w:tcPr>
          <w:p w14:paraId="3F225000"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4.1%</w:t>
            </w:r>
          </w:p>
        </w:tc>
        <w:tc>
          <w:tcPr>
            <w:tcW w:w="1702" w:type="dxa"/>
            <w:noWrap/>
            <w:vAlign w:val="center"/>
            <w:hideMark/>
          </w:tcPr>
          <w:p w14:paraId="2263EFE9"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3.2%</w:t>
            </w:r>
          </w:p>
        </w:tc>
      </w:tr>
      <w:tr w:rsidR="00BA1A4F" w:rsidRPr="00BA1A4F" w14:paraId="058FEE56" w14:textId="77777777" w:rsidTr="006F3BBB">
        <w:trPr>
          <w:trHeight w:val="397"/>
        </w:trPr>
        <w:tc>
          <w:tcPr>
            <w:tcW w:w="850" w:type="dxa"/>
            <w:noWrap/>
            <w:vAlign w:val="center"/>
            <w:hideMark/>
          </w:tcPr>
          <w:p w14:paraId="289B62D4"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111</w:t>
            </w:r>
          </w:p>
        </w:tc>
        <w:tc>
          <w:tcPr>
            <w:tcW w:w="2410" w:type="dxa"/>
            <w:noWrap/>
            <w:vAlign w:val="center"/>
            <w:hideMark/>
          </w:tcPr>
          <w:p w14:paraId="6C2B255F" w14:textId="7ADC57DE"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8,096</w:t>
            </w:r>
          </w:p>
        </w:tc>
        <w:tc>
          <w:tcPr>
            <w:tcW w:w="1701" w:type="dxa"/>
            <w:noWrap/>
            <w:vAlign w:val="center"/>
            <w:hideMark/>
          </w:tcPr>
          <w:p w14:paraId="4E459CDB" w14:textId="66F3ECDD"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2,316</w:t>
            </w:r>
          </w:p>
        </w:tc>
        <w:tc>
          <w:tcPr>
            <w:tcW w:w="1701" w:type="dxa"/>
            <w:noWrap/>
            <w:vAlign w:val="center"/>
            <w:hideMark/>
          </w:tcPr>
          <w:p w14:paraId="5F9F5466"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3.3%</w:t>
            </w:r>
          </w:p>
        </w:tc>
        <w:tc>
          <w:tcPr>
            <w:tcW w:w="1702" w:type="dxa"/>
            <w:noWrap/>
            <w:vAlign w:val="center"/>
            <w:hideMark/>
          </w:tcPr>
          <w:p w14:paraId="7E75BAE5"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3.4%</w:t>
            </w:r>
          </w:p>
        </w:tc>
      </w:tr>
      <w:tr w:rsidR="00BA1A4F" w:rsidRPr="00BA1A4F" w14:paraId="279D909C" w14:textId="77777777" w:rsidTr="006F3BBB">
        <w:trPr>
          <w:trHeight w:val="397"/>
        </w:trPr>
        <w:tc>
          <w:tcPr>
            <w:tcW w:w="850" w:type="dxa"/>
            <w:noWrap/>
            <w:vAlign w:val="center"/>
            <w:hideMark/>
          </w:tcPr>
          <w:p w14:paraId="7DB7188E"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112</w:t>
            </w:r>
          </w:p>
        </w:tc>
        <w:tc>
          <w:tcPr>
            <w:tcW w:w="2410" w:type="dxa"/>
            <w:noWrap/>
            <w:vAlign w:val="center"/>
            <w:hideMark/>
          </w:tcPr>
          <w:p w14:paraId="7435EC14" w14:textId="38513799"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8,364</w:t>
            </w:r>
          </w:p>
        </w:tc>
        <w:tc>
          <w:tcPr>
            <w:tcW w:w="1701" w:type="dxa"/>
            <w:noWrap/>
            <w:vAlign w:val="center"/>
            <w:hideMark/>
          </w:tcPr>
          <w:p w14:paraId="53AEBC11" w14:textId="72BF3F6E"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2,431</w:t>
            </w:r>
          </w:p>
        </w:tc>
        <w:tc>
          <w:tcPr>
            <w:tcW w:w="1701" w:type="dxa"/>
            <w:noWrap/>
            <w:vAlign w:val="center"/>
            <w:hideMark/>
          </w:tcPr>
          <w:p w14:paraId="7171BB4E"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3.3%</w:t>
            </w:r>
          </w:p>
        </w:tc>
        <w:tc>
          <w:tcPr>
            <w:tcW w:w="1702" w:type="dxa"/>
            <w:noWrap/>
            <w:vAlign w:val="center"/>
            <w:hideMark/>
          </w:tcPr>
          <w:p w14:paraId="332B8517"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4.9%</w:t>
            </w:r>
          </w:p>
        </w:tc>
      </w:tr>
      <w:tr w:rsidR="00BA1A4F" w:rsidRPr="00BA1A4F" w14:paraId="574EC820" w14:textId="77777777" w:rsidTr="006F3BBB">
        <w:trPr>
          <w:trHeight w:val="397"/>
        </w:trPr>
        <w:tc>
          <w:tcPr>
            <w:tcW w:w="850" w:type="dxa"/>
            <w:noWrap/>
            <w:vAlign w:val="center"/>
            <w:hideMark/>
          </w:tcPr>
          <w:p w14:paraId="62C16E90" w14:textId="77777777" w:rsidR="00BA1A4F" w:rsidRPr="006F3BBB" w:rsidRDefault="00BA1A4F" w:rsidP="006F3BBB">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113</w:t>
            </w:r>
          </w:p>
        </w:tc>
        <w:tc>
          <w:tcPr>
            <w:tcW w:w="2410" w:type="dxa"/>
            <w:noWrap/>
            <w:vAlign w:val="center"/>
            <w:hideMark/>
          </w:tcPr>
          <w:p w14:paraId="31BB6580" w14:textId="3C9A3F45"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8,755</w:t>
            </w:r>
          </w:p>
        </w:tc>
        <w:tc>
          <w:tcPr>
            <w:tcW w:w="1701" w:type="dxa"/>
            <w:noWrap/>
            <w:vAlign w:val="center"/>
            <w:hideMark/>
          </w:tcPr>
          <w:p w14:paraId="7D31BB82" w14:textId="68F3510B"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2,536</w:t>
            </w:r>
          </w:p>
        </w:tc>
        <w:tc>
          <w:tcPr>
            <w:tcW w:w="1701" w:type="dxa"/>
            <w:noWrap/>
            <w:vAlign w:val="center"/>
            <w:hideMark/>
          </w:tcPr>
          <w:p w14:paraId="77F36C86"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4.7%</w:t>
            </w:r>
          </w:p>
        </w:tc>
        <w:tc>
          <w:tcPr>
            <w:tcW w:w="1702" w:type="dxa"/>
            <w:noWrap/>
            <w:vAlign w:val="center"/>
            <w:hideMark/>
          </w:tcPr>
          <w:p w14:paraId="50974C16" w14:textId="77777777" w:rsidR="00BA1A4F" w:rsidRPr="00BA1A4F" w:rsidRDefault="00BA1A4F" w:rsidP="00B877A6">
            <w:pPr>
              <w:pStyle w:val="a3"/>
              <w:snapToGrid w:val="0"/>
              <w:ind w:leftChars="0" w:left="0"/>
              <w:jc w:val="center"/>
              <w:rPr>
                <w:rFonts w:ascii="Times New Roman" w:eastAsia="標楷體" w:hAnsi="Times New Roman" w:cs="Times New Roman"/>
                <w:color w:val="000000"/>
              </w:rPr>
            </w:pPr>
            <w:r w:rsidRPr="00BA1A4F">
              <w:rPr>
                <w:rFonts w:ascii="Times New Roman" w:eastAsia="標楷體" w:hAnsi="Times New Roman" w:cs="Times New Roman" w:hint="eastAsia"/>
                <w:color w:val="000000"/>
              </w:rPr>
              <w:t>4.3%</w:t>
            </w:r>
          </w:p>
        </w:tc>
      </w:tr>
      <w:tr w:rsidR="00BA1A4F" w:rsidRPr="00BA1A4F" w14:paraId="7D4CE029" w14:textId="77777777" w:rsidTr="006F3BBB">
        <w:trPr>
          <w:trHeight w:val="397"/>
        </w:trPr>
        <w:tc>
          <w:tcPr>
            <w:tcW w:w="4961" w:type="dxa"/>
            <w:gridSpan w:val="3"/>
            <w:shd w:val="clear" w:color="auto" w:fill="D9D9D9" w:themeFill="background1" w:themeFillShade="D9"/>
            <w:noWrap/>
            <w:vAlign w:val="center"/>
          </w:tcPr>
          <w:p w14:paraId="5848E4EA" w14:textId="254F8ABB" w:rsidR="00BA1A4F" w:rsidRPr="006F3BBB" w:rsidRDefault="00BA1A4F" w:rsidP="00B877A6">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hint="eastAsia"/>
                <w:b/>
                <w:bCs/>
                <w:color w:val="000000"/>
              </w:rPr>
              <w:t>平均成長率</w:t>
            </w:r>
            <w:r w:rsidRPr="006F3BBB">
              <w:rPr>
                <w:rFonts w:ascii="Times New Roman" w:eastAsia="標楷體" w:hAnsi="Times New Roman" w:cs="Times New Roman" w:hint="eastAsia"/>
                <w:b/>
                <w:bCs/>
                <w:color w:val="000000"/>
              </w:rPr>
              <w:t>(</w:t>
            </w:r>
            <w:r w:rsidRPr="006F3BBB">
              <w:rPr>
                <w:rFonts w:ascii="Times New Roman" w:eastAsia="標楷體" w:hAnsi="Times New Roman" w:cs="Times New Roman" w:hint="eastAsia"/>
                <w:b/>
                <w:bCs/>
                <w:color w:val="000000"/>
              </w:rPr>
              <w:t>幾何平均數</w:t>
            </w:r>
            <w:r w:rsidRPr="006F3BBB">
              <w:rPr>
                <w:rFonts w:ascii="Times New Roman" w:eastAsia="標楷體" w:hAnsi="Times New Roman" w:cs="Times New Roman" w:hint="eastAsia"/>
                <w:b/>
                <w:bCs/>
                <w:color w:val="000000"/>
              </w:rPr>
              <w:t>)</w:t>
            </w:r>
          </w:p>
        </w:tc>
        <w:tc>
          <w:tcPr>
            <w:tcW w:w="1701" w:type="dxa"/>
            <w:shd w:val="clear" w:color="auto" w:fill="D9D9D9" w:themeFill="background1" w:themeFillShade="D9"/>
            <w:noWrap/>
            <w:vAlign w:val="center"/>
          </w:tcPr>
          <w:p w14:paraId="7F82D0D3" w14:textId="330639DC" w:rsidR="00BA1A4F" w:rsidRPr="006F3BBB" w:rsidRDefault="00BA1A4F" w:rsidP="00B877A6">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b/>
                <w:bCs/>
                <w:color w:val="000000"/>
              </w:rPr>
              <w:t>3.85%</w:t>
            </w:r>
          </w:p>
        </w:tc>
        <w:tc>
          <w:tcPr>
            <w:tcW w:w="1702" w:type="dxa"/>
            <w:shd w:val="clear" w:color="auto" w:fill="D9D9D9" w:themeFill="background1" w:themeFillShade="D9"/>
            <w:noWrap/>
            <w:vAlign w:val="center"/>
          </w:tcPr>
          <w:p w14:paraId="58923D77" w14:textId="7223B143" w:rsidR="00BA1A4F" w:rsidRPr="006F3BBB" w:rsidRDefault="00BA1A4F" w:rsidP="00B877A6">
            <w:pPr>
              <w:pStyle w:val="a3"/>
              <w:snapToGrid w:val="0"/>
              <w:ind w:leftChars="0" w:left="0"/>
              <w:jc w:val="center"/>
              <w:rPr>
                <w:rFonts w:ascii="Times New Roman" w:eastAsia="標楷體" w:hAnsi="Times New Roman" w:cs="Times New Roman"/>
                <w:b/>
                <w:bCs/>
                <w:color w:val="000000"/>
              </w:rPr>
            </w:pPr>
            <w:r w:rsidRPr="006F3BBB">
              <w:rPr>
                <w:rFonts w:ascii="Times New Roman" w:eastAsia="標楷體" w:hAnsi="Times New Roman" w:cs="Times New Roman"/>
                <w:b/>
                <w:bCs/>
                <w:color w:val="000000"/>
              </w:rPr>
              <w:t>3.91%</w:t>
            </w:r>
          </w:p>
        </w:tc>
      </w:tr>
    </w:tbl>
    <w:p w14:paraId="04B2543D" w14:textId="2637B7E8" w:rsidR="007B2D67" w:rsidRDefault="007B2D67" w:rsidP="00BA1A4F">
      <w:pPr>
        <w:pStyle w:val="a3"/>
        <w:spacing w:line="440" w:lineRule="exact"/>
        <w:ind w:leftChars="0" w:left="1"/>
        <w:jc w:val="both"/>
        <w:rPr>
          <w:rFonts w:ascii="Times New Roman" w:eastAsia="標楷體" w:hAnsi="Times New Roman" w:cs="Times New Roman"/>
          <w:color w:val="000000"/>
          <w:sz w:val="28"/>
          <w:szCs w:val="28"/>
        </w:rPr>
      </w:pPr>
    </w:p>
    <w:p w14:paraId="625408CC" w14:textId="2680FB13" w:rsidR="007B2D67" w:rsidRDefault="00BA1A4F" w:rsidP="00BA1A4F">
      <w:pPr>
        <w:pStyle w:val="a3"/>
        <w:numPr>
          <w:ilvl w:val="0"/>
          <w:numId w:val="6"/>
        </w:numPr>
        <w:spacing w:line="440" w:lineRule="exact"/>
        <w:ind w:leftChars="0"/>
        <w:jc w:val="both"/>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rPr>
        <w:t>健保藥品編列預算</w:t>
      </w:r>
    </w:p>
    <w:p w14:paraId="5AB6E6EA" w14:textId="10F35CE1"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75F5F4C4" w14:textId="4297184C" w:rsidR="007B2D67" w:rsidRDefault="008543C6" w:rsidP="007B2D67">
      <w:pPr>
        <w:pStyle w:val="a3"/>
        <w:spacing w:line="440" w:lineRule="exact"/>
        <w:ind w:leftChars="0" w:left="360"/>
        <w:jc w:val="both"/>
        <w:rPr>
          <w:rFonts w:ascii="Times New Roman" w:eastAsia="標楷體" w:hAnsi="Times New Roman" w:cs="Times New Roman"/>
          <w:color w:val="000000"/>
          <w:sz w:val="28"/>
          <w:szCs w:val="28"/>
        </w:rPr>
      </w:pPr>
      <w:r>
        <w:rPr>
          <w:rFonts w:ascii="Times New Roman" w:eastAsia="標楷體" w:hAnsi="Times New Roman" w:cs="Times New Roman"/>
          <w:noProof/>
          <w:color w:val="000000"/>
          <w:sz w:val="28"/>
          <w:szCs w:val="28"/>
        </w:rPr>
        <w:drawing>
          <wp:anchor distT="0" distB="0" distL="114300" distR="114300" simplePos="0" relativeHeight="251666432" behindDoc="1" locked="0" layoutInCell="1" allowOverlap="1" wp14:anchorId="711C8B08" wp14:editId="4E8D702A">
            <wp:simplePos x="0" y="0"/>
            <wp:positionH relativeFrom="margin">
              <wp:posOffset>166370</wp:posOffset>
            </wp:positionH>
            <wp:positionV relativeFrom="paragraph">
              <wp:posOffset>-184785</wp:posOffset>
            </wp:positionV>
            <wp:extent cx="5897043" cy="2743200"/>
            <wp:effectExtent l="0" t="0" r="0" b="0"/>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7043" cy="2743200"/>
                    </a:xfrm>
                    <a:prstGeom prst="rect">
                      <a:avLst/>
                    </a:prstGeom>
                    <a:noFill/>
                  </pic:spPr>
                </pic:pic>
              </a:graphicData>
            </a:graphic>
            <wp14:sizeRelH relativeFrom="page">
              <wp14:pctWidth>0</wp14:pctWidth>
            </wp14:sizeRelH>
            <wp14:sizeRelV relativeFrom="page">
              <wp14:pctHeight>0</wp14:pctHeight>
            </wp14:sizeRelV>
          </wp:anchor>
        </w:drawing>
      </w:r>
    </w:p>
    <w:p w14:paraId="009F7831" w14:textId="77777777"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2DEB1427" w14:textId="77777777"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466C4156" w14:textId="77777777"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796E4094" w14:textId="77777777"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4B72DDAF" w14:textId="77777777"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30D57310" w14:textId="77777777" w:rsidR="007B2D67" w:rsidRDefault="007B2D67" w:rsidP="007B2D67">
      <w:pPr>
        <w:pStyle w:val="a3"/>
        <w:spacing w:line="440" w:lineRule="exact"/>
        <w:ind w:leftChars="0" w:left="360"/>
        <w:jc w:val="both"/>
        <w:rPr>
          <w:rFonts w:ascii="Times New Roman" w:eastAsia="標楷體" w:hAnsi="Times New Roman" w:cs="Times New Roman"/>
          <w:color w:val="000000"/>
          <w:sz w:val="28"/>
          <w:szCs w:val="28"/>
        </w:rPr>
      </w:pPr>
    </w:p>
    <w:p w14:paraId="481D9C6B" w14:textId="77777777" w:rsidR="008543C6" w:rsidRDefault="008543C6" w:rsidP="008543C6">
      <w:pPr>
        <w:pStyle w:val="a3"/>
        <w:spacing w:line="440" w:lineRule="exact"/>
        <w:ind w:leftChars="0" w:left="360"/>
        <w:jc w:val="both"/>
        <w:rPr>
          <w:rFonts w:ascii="Times New Roman" w:eastAsia="標楷體" w:hAnsi="Times New Roman" w:cs="Times New Roman"/>
          <w:color w:val="000000"/>
          <w:sz w:val="28"/>
          <w:szCs w:val="28"/>
        </w:rPr>
      </w:pPr>
    </w:p>
    <w:p w14:paraId="1B4208F3" w14:textId="77777777" w:rsidR="008543C6" w:rsidRDefault="008543C6" w:rsidP="008543C6">
      <w:pPr>
        <w:pStyle w:val="a3"/>
        <w:spacing w:line="440" w:lineRule="exact"/>
        <w:ind w:leftChars="0" w:left="360"/>
        <w:jc w:val="both"/>
        <w:rPr>
          <w:rFonts w:ascii="Times New Roman" w:eastAsia="標楷體" w:hAnsi="Times New Roman" w:cs="Times New Roman"/>
          <w:color w:val="000000"/>
          <w:sz w:val="28"/>
          <w:szCs w:val="28"/>
        </w:rPr>
      </w:pPr>
    </w:p>
    <w:p w14:paraId="63B3D1D3" w14:textId="77777777" w:rsidR="00664E9E" w:rsidRPr="00BA1A4F" w:rsidRDefault="00664E9E" w:rsidP="00BA1A4F">
      <w:pPr>
        <w:spacing w:line="440" w:lineRule="exact"/>
        <w:jc w:val="both"/>
        <w:rPr>
          <w:rFonts w:ascii="Times New Roman" w:eastAsia="標楷體" w:hAnsi="Times New Roman" w:cs="Times New Roman"/>
          <w:color w:val="000000"/>
          <w:sz w:val="28"/>
          <w:szCs w:val="28"/>
        </w:rPr>
      </w:pPr>
    </w:p>
    <w:p w14:paraId="214358D7" w14:textId="77777777" w:rsidR="0092449C" w:rsidRDefault="0092449C">
      <w:pPr>
        <w:widowControl/>
        <w:rPr>
          <w:rFonts w:ascii="Times New Roman" w:eastAsia="標楷體" w:hAnsi="Times New Roman" w:cs="Times New Roman"/>
          <w:color w:val="000000"/>
          <w:sz w:val="28"/>
          <w:szCs w:val="28"/>
        </w:rPr>
      </w:pPr>
      <w:r>
        <w:rPr>
          <w:rFonts w:ascii="Times New Roman" w:eastAsia="標楷體" w:hAnsi="Times New Roman" w:cs="Times New Roman"/>
          <w:color w:val="000000"/>
          <w:sz w:val="28"/>
          <w:szCs w:val="28"/>
        </w:rPr>
        <w:br w:type="page"/>
      </w:r>
    </w:p>
    <w:p w14:paraId="64030956" w14:textId="0AB6C8D5" w:rsidR="004E48F2" w:rsidRPr="00664E9E" w:rsidRDefault="00664E9E" w:rsidP="00664E9E">
      <w:pPr>
        <w:pStyle w:val="a3"/>
        <w:numPr>
          <w:ilvl w:val="0"/>
          <w:numId w:val="6"/>
        </w:numPr>
        <w:spacing w:afterLines="50" w:after="180" w:line="440" w:lineRule="exact"/>
        <w:ind w:leftChars="0" w:left="357" w:hanging="357"/>
        <w:jc w:val="both"/>
        <w:rPr>
          <w:rFonts w:ascii="Times New Roman" w:eastAsia="標楷體" w:hAnsi="Times New Roman" w:cs="Times New Roman"/>
          <w:color w:val="000000"/>
          <w:sz w:val="28"/>
          <w:szCs w:val="28"/>
        </w:rPr>
      </w:pPr>
      <w:r w:rsidRPr="00664E9E">
        <w:rPr>
          <w:rFonts w:ascii="Times New Roman" w:eastAsia="標楷體" w:hAnsi="Times New Roman" w:cs="Times New Roman" w:hint="eastAsia"/>
          <w:color w:val="000000"/>
          <w:sz w:val="28"/>
          <w:szCs w:val="28"/>
        </w:rPr>
        <w:lastRenderedPageBreak/>
        <w:t>藥品消費支出占經常性醫療保健支出</w:t>
      </w:r>
      <w:r>
        <w:rPr>
          <w:rFonts w:ascii="Times New Roman" w:eastAsia="標楷體" w:hAnsi="Times New Roman" w:cs="Times New Roman" w:hint="eastAsia"/>
          <w:color w:val="000000"/>
          <w:sz w:val="28"/>
          <w:szCs w:val="28"/>
        </w:rPr>
        <w:t>(CHE)</w:t>
      </w:r>
      <w:r w:rsidRPr="00664E9E">
        <w:rPr>
          <w:rFonts w:ascii="Times New Roman" w:eastAsia="標楷體" w:hAnsi="Times New Roman" w:cs="Times New Roman" w:hint="eastAsia"/>
          <w:color w:val="000000"/>
          <w:sz w:val="28"/>
          <w:szCs w:val="28"/>
        </w:rPr>
        <w:t>百分比</w:t>
      </w:r>
      <w:r w:rsidRPr="00664E9E">
        <w:rPr>
          <w:rFonts w:ascii="Times New Roman" w:eastAsia="標楷體" w:hAnsi="Times New Roman" w:cs="Times New Roman" w:hint="eastAsia"/>
          <w:color w:val="000000"/>
          <w:sz w:val="28"/>
          <w:szCs w:val="28"/>
        </w:rPr>
        <w:t>_</w:t>
      </w:r>
      <w:r w:rsidRPr="00664E9E">
        <w:rPr>
          <w:rFonts w:ascii="Times New Roman" w:eastAsia="標楷體" w:hAnsi="Times New Roman" w:cs="Times New Roman" w:hint="eastAsia"/>
          <w:color w:val="000000"/>
          <w:sz w:val="28"/>
          <w:szCs w:val="28"/>
        </w:rPr>
        <w:t>我國與國際之</w:t>
      </w:r>
      <w:r w:rsidR="00F71326" w:rsidRPr="00664E9E">
        <w:rPr>
          <w:rFonts w:ascii="Times New Roman" w:eastAsia="標楷體" w:hAnsi="Times New Roman" w:cs="Times New Roman" w:hint="eastAsia"/>
          <w:color w:val="000000"/>
          <w:sz w:val="28"/>
          <w:szCs w:val="28"/>
        </w:rPr>
        <w:t>比較</w:t>
      </w:r>
    </w:p>
    <w:tbl>
      <w:tblPr>
        <w:tblW w:w="8931" w:type="dxa"/>
        <w:jc w:val="center"/>
        <w:tblLayout w:type="fixed"/>
        <w:tblCellMar>
          <w:left w:w="28" w:type="dxa"/>
          <w:right w:w="28" w:type="dxa"/>
        </w:tblCellMar>
        <w:tblLook w:val="04A0" w:firstRow="1" w:lastRow="0" w:firstColumn="1" w:lastColumn="0" w:noHBand="0" w:noVBand="1"/>
      </w:tblPr>
      <w:tblGrid>
        <w:gridCol w:w="1134"/>
        <w:gridCol w:w="1949"/>
        <w:gridCol w:w="1949"/>
        <w:gridCol w:w="1949"/>
        <w:gridCol w:w="1950"/>
      </w:tblGrid>
      <w:tr w:rsidR="00664E9E" w:rsidRPr="00664E9E" w14:paraId="253FD086" w14:textId="77777777" w:rsidTr="006F3BBB">
        <w:trPr>
          <w:trHeight w:val="424"/>
          <w:jc w:val="center"/>
        </w:trPr>
        <w:tc>
          <w:tcPr>
            <w:tcW w:w="1134" w:type="dxa"/>
            <w:tcBorders>
              <w:top w:val="single" w:sz="4" w:space="0" w:color="auto"/>
              <w:left w:val="nil"/>
              <w:bottom w:val="single" w:sz="4" w:space="0" w:color="auto"/>
              <w:right w:val="nil"/>
            </w:tcBorders>
            <w:shd w:val="clear" w:color="auto" w:fill="auto"/>
            <w:noWrap/>
            <w:vAlign w:val="center"/>
            <w:hideMark/>
          </w:tcPr>
          <w:p w14:paraId="1D172D95"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年度</w:t>
            </w:r>
          </w:p>
        </w:tc>
        <w:tc>
          <w:tcPr>
            <w:tcW w:w="1949" w:type="dxa"/>
            <w:tcBorders>
              <w:top w:val="single" w:sz="4" w:space="0" w:color="auto"/>
              <w:left w:val="nil"/>
              <w:bottom w:val="single" w:sz="4" w:space="0" w:color="auto"/>
              <w:right w:val="nil"/>
            </w:tcBorders>
            <w:shd w:val="clear" w:color="auto" w:fill="auto"/>
            <w:noWrap/>
            <w:vAlign w:val="center"/>
            <w:hideMark/>
          </w:tcPr>
          <w:p w14:paraId="1D3C779C"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中華民國</w:t>
            </w:r>
          </w:p>
        </w:tc>
        <w:tc>
          <w:tcPr>
            <w:tcW w:w="1949" w:type="dxa"/>
            <w:tcBorders>
              <w:top w:val="single" w:sz="4" w:space="0" w:color="auto"/>
              <w:left w:val="nil"/>
              <w:bottom w:val="single" w:sz="4" w:space="0" w:color="auto"/>
              <w:right w:val="nil"/>
            </w:tcBorders>
            <w:shd w:val="clear" w:color="auto" w:fill="auto"/>
            <w:noWrap/>
            <w:vAlign w:val="center"/>
            <w:hideMark/>
          </w:tcPr>
          <w:p w14:paraId="33C56447"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日本</w:t>
            </w:r>
          </w:p>
        </w:tc>
        <w:tc>
          <w:tcPr>
            <w:tcW w:w="1949" w:type="dxa"/>
            <w:tcBorders>
              <w:top w:val="single" w:sz="4" w:space="0" w:color="auto"/>
              <w:left w:val="nil"/>
              <w:bottom w:val="single" w:sz="4" w:space="0" w:color="auto"/>
              <w:right w:val="nil"/>
            </w:tcBorders>
            <w:shd w:val="clear" w:color="auto" w:fill="auto"/>
            <w:noWrap/>
            <w:vAlign w:val="center"/>
            <w:hideMark/>
          </w:tcPr>
          <w:p w14:paraId="36A4D202"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南韓</w:t>
            </w:r>
          </w:p>
        </w:tc>
        <w:tc>
          <w:tcPr>
            <w:tcW w:w="1950" w:type="dxa"/>
            <w:tcBorders>
              <w:top w:val="single" w:sz="4" w:space="0" w:color="auto"/>
              <w:left w:val="nil"/>
              <w:bottom w:val="single" w:sz="4" w:space="0" w:color="auto"/>
              <w:right w:val="nil"/>
            </w:tcBorders>
            <w:shd w:val="clear" w:color="auto" w:fill="auto"/>
            <w:noWrap/>
            <w:vAlign w:val="center"/>
            <w:hideMark/>
          </w:tcPr>
          <w:p w14:paraId="6C1964E0"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美國</w:t>
            </w:r>
          </w:p>
        </w:tc>
      </w:tr>
      <w:tr w:rsidR="00664E9E" w:rsidRPr="00664E9E" w14:paraId="5DF6FE31" w14:textId="77777777" w:rsidTr="006F3BBB">
        <w:trPr>
          <w:trHeight w:val="360"/>
          <w:jc w:val="center"/>
        </w:trPr>
        <w:tc>
          <w:tcPr>
            <w:tcW w:w="1134" w:type="dxa"/>
            <w:tcBorders>
              <w:top w:val="single" w:sz="4" w:space="0" w:color="auto"/>
              <w:left w:val="nil"/>
              <w:bottom w:val="nil"/>
              <w:right w:val="nil"/>
            </w:tcBorders>
            <w:shd w:val="clear" w:color="auto" w:fill="auto"/>
            <w:noWrap/>
            <w:vAlign w:val="center"/>
            <w:hideMark/>
          </w:tcPr>
          <w:p w14:paraId="38AC93B1"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109</w:t>
            </w:r>
            <w:r w:rsidRPr="00664E9E">
              <w:rPr>
                <w:rFonts w:ascii="Times New Roman" w:eastAsia="標楷體" w:hAnsi="Times New Roman" w:cs="Times New Roman"/>
                <w:kern w:val="0"/>
              </w:rPr>
              <w:t>年</w:t>
            </w:r>
          </w:p>
        </w:tc>
        <w:tc>
          <w:tcPr>
            <w:tcW w:w="1949" w:type="dxa"/>
            <w:tcBorders>
              <w:top w:val="single" w:sz="4" w:space="0" w:color="auto"/>
              <w:left w:val="nil"/>
              <w:bottom w:val="nil"/>
              <w:right w:val="nil"/>
            </w:tcBorders>
            <w:shd w:val="clear" w:color="auto" w:fill="auto"/>
            <w:noWrap/>
            <w:vAlign w:val="center"/>
            <w:hideMark/>
          </w:tcPr>
          <w:p w14:paraId="4FAAD1B4"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17.5%</w:t>
            </w:r>
          </w:p>
        </w:tc>
        <w:tc>
          <w:tcPr>
            <w:tcW w:w="1949" w:type="dxa"/>
            <w:tcBorders>
              <w:top w:val="single" w:sz="4" w:space="0" w:color="auto"/>
              <w:left w:val="nil"/>
              <w:bottom w:val="nil"/>
              <w:right w:val="nil"/>
            </w:tcBorders>
            <w:shd w:val="clear" w:color="auto" w:fill="auto"/>
            <w:noWrap/>
            <w:vAlign w:val="center"/>
            <w:hideMark/>
          </w:tcPr>
          <w:p w14:paraId="673BCF83"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17.3%</w:t>
            </w:r>
          </w:p>
        </w:tc>
        <w:tc>
          <w:tcPr>
            <w:tcW w:w="1949" w:type="dxa"/>
            <w:tcBorders>
              <w:top w:val="single" w:sz="4" w:space="0" w:color="auto"/>
              <w:left w:val="nil"/>
              <w:bottom w:val="nil"/>
              <w:right w:val="nil"/>
            </w:tcBorders>
            <w:shd w:val="clear" w:color="auto" w:fill="auto"/>
            <w:noWrap/>
            <w:vAlign w:val="center"/>
            <w:hideMark/>
          </w:tcPr>
          <w:p w14:paraId="7C94CEB8"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17.9%</w:t>
            </w:r>
          </w:p>
        </w:tc>
        <w:tc>
          <w:tcPr>
            <w:tcW w:w="1950" w:type="dxa"/>
            <w:tcBorders>
              <w:top w:val="single" w:sz="4" w:space="0" w:color="auto"/>
              <w:left w:val="nil"/>
              <w:bottom w:val="nil"/>
              <w:right w:val="nil"/>
            </w:tcBorders>
            <w:shd w:val="clear" w:color="auto" w:fill="auto"/>
            <w:noWrap/>
            <w:vAlign w:val="center"/>
            <w:hideMark/>
          </w:tcPr>
          <w:p w14:paraId="73CB6BE4"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11.3%</w:t>
            </w:r>
          </w:p>
        </w:tc>
      </w:tr>
      <w:tr w:rsidR="00664E9E" w:rsidRPr="00664E9E" w14:paraId="78D92D87" w14:textId="77777777" w:rsidTr="006F3BBB">
        <w:trPr>
          <w:trHeight w:val="360"/>
          <w:jc w:val="center"/>
        </w:trPr>
        <w:tc>
          <w:tcPr>
            <w:tcW w:w="1134" w:type="dxa"/>
            <w:tcBorders>
              <w:top w:val="nil"/>
              <w:left w:val="nil"/>
              <w:bottom w:val="nil"/>
              <w:right w:val="nil"/>
            </w:tcBorders>
            <w:shd w:val="clear" w:color="auto" w:fill="auto"/>
            <w:noWrap/>
            <w:vAlign w:val="center"/>
            <w:hideMark/>
          </w:tcPr>
          <w:p w14:paraId="67827B16"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110</w:t>
            </w:r>
            <w:r w:rsidRPr="00664E9E">
              <w:rPr>
                <w:rFonts w:ascii="Times New Roman" w:eastAsia="標楷體" w:hAnsi="Times New Roman" w:cs="Times New Roman"/>
                <w:kern w:val="0"/>
              </w:rPr>
              <w:t>年</w:t>
            </w:r>
          </w:p>
        </w:tc>
        <w:tc>
          <w:tcPr>
            <w:tcW w:w="1949" w:type="dxa"/>
            <w:tcBorders>
              <w:top w:val="nil"/>
              <w:left w:val="nil"/>
              <w:bottom w:val="nil"/>
              <w:right w:val="nil"/>
            </w:tcBorders>
            <w:shd w:val="clear" w:color="auto" w:fill="auto"/>
            <w:noWrap/>
            <w:vAlign w:val="center"/>
            <w:hideMark/>
          </w:tcPr>
          <w:p w14:paraId="13B8DA4E"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17.5%</w:t>
            </w:r>
          </w:p>
        </w:tc>
        <w:tc>
          <w:tcPr>
            <w:tcW w:w="1949" w:type="dxa"/>
            <w:tcBorders>
              <w:top w:val="nil"/>
              <w:left w:val="nil"/>
              <w:bottom w:val="nil"/>
              <w:right w:val="nil"/>
            </w:tcBorders>
            <w:shd w:val="clear" w:color="auto" w:fill="auto"/>
            <w:noWrap/>
            <w:vAlign w:val="center"/>
            <w:hideMark/>
          </w:tcPr>
          <w:p w14:paraId="359B979C"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16.3%</w:t>
            </w:r>
          </w:p>
        </w:tc>
        <w:tc>
          <w:tcPr>
            <w:tcW w:w="1949" w:type="dxa"/>
            <w:tcBorders>
              <w:top w:val="nil"/>
              <w:left w:val="nil"/>
              <w:bottom w:val="nil"/>
              <w:right w:val="nil"/>
            </w:tcBorders>
            <w:shd w:val="clear" w:color="auto" w:fill="auto"/>
            <w:noWrap/>
            <w:vAlign w:val="center"/>
            <w:hideMark/>
          </w:tcPr>
          <w:p w14:paraId="2D141B22"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17.0%</w:t>
            </w:r>
          </w:p>
        </w:tc>
        <w:tc>
          <w:tcPr>
            <w:tcW w:w="1950" w:type="dxa"/>
            <w:tcBorders>
              <w:top w:val="nil"/>
              <w:left w:val="nil"/>
              <w:bottom w:val="nil"/>
              <w:right w:val="nil"/>
            </w:tcBorders>
            <w:shd w:val="clear" w:color="auto" w:fill="auto"/>
            <w:noWrap/>
            <w:vAlign w:val="center"/>
            <w:hideMark/>
          </w:tcPr>
          <w:p w14:paraId="7761AA8F"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11.7%</w:t>
            </w:r>
          </w:p>
        </w:tc>
      </w:tr>
      <w:tr w:rsidR="00664E9E" w:rsidRPr="00664E9E" w14:paraId="3B38DDF7" w14:textId="77777777" w:rsidTr="006F3BBB">
        <w:trPr>
          <w:trHeight w:val="360"/>
          <w:jc w:val="center"/>
        </w:trPr>
        <w:tc>
          <w:tcPr>
            <w:tcW w:w="1134" w:type="dxa"/>
            <w:tcBorders>
              <w:top w:val="nil"/>
              <w:left w:val="nil"/>
              <w:bottom w:val="nil"/>
              <w:right w:val="nil"/>
            </w:tcBorders>
            <w:shd w:val="clear" w:color="auto" w:fill="auto"/>
            <w:noWrap/>
            <w:vAlign w:val="center"/>
            <w:hideMark/>
          </w:tcPr>
          <w:p w14:paraId="3EB47E5E"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111</w:t>
            </w:r>
            <w:r w:rsidRPr="00664E9E">
              <w:rPr>
                <w:rFonts w:ascii="Times New Roman" w:eastAsia="標楷體" w:hAnsi="Times New Roman" w:cs="Times New Roman"/>
                <w:kern w:val="0"/>
              </w:rPr>
              <w:t>年</w:t>
            </w:r>
          </w:p>
        </w:tc>
        <w:tc>
          <w:tcPr>
            <w:tcW w:w="1949" w:type="dxa"/>
            <w:tcBorders>
              <w:top w:val="nil"/>
              <w:left w:val="nil"/>
              <w:bottom w:val="nil"/>
              <w:right w:val="nil"/>
            </w:tcBorders>
            <w:shd w:val="clear" w:color="auto" w:fill="auto"/>
            <w:noWrap/>
            <w:vAlign w:val="center"/>
            <w:hideMark/>
          </w:tcPr>
          <w:p w14:paraId="2D60AC66"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17.8%</w:t>
            </w:r>
          </w:p>
        </w:tc>
        <w:tc>
          <w:tcPr>
            <w:tcW w:w="1949" w:type="dxa"/>
            <w:tcBorders>
              <w:top w:val="nil"/>
              <w:left w:val="nil"/>
              <w:bottom w:val="nil"/>
              <w:right w:val="nil"/>
            </w:tcBorders>
            <w:shd w:val="clear" w:color="auto" w:fill="auto"/>
            <w:noWrap/>
            <w:vAlign w:val="center"/>
            <w:hideMark/>
          </w:tcPr>
          <w:p w14:paraId="70C28D22"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15.8%</w:t>
            </w:r>
          </w:p>
        </w:tc>
        <w:tc>
          <w:tcPr>
            <w:tcW w:w="1949" w:type="dxa"/>
            <w:tcBorders>
              <w:top w:val="nil"/>
              <w:left w:val="nil"/>
              <w:bottom w:val="nil"/>
              <w:right w:val="nil"/>
            </w:tcBorders>
            <w:shd w:val="clear" w:color="auto" w:fill="auto"/>
            <w:noWrap/>
            <w:vAlign w:val="center"/>
            <w:hideMark/>
          </w:tcPr>
          <w:p w14:paraId="72AD4783"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17.0%</w:t>
            </w:r>
          </w:p>
        </w:tc>
        <w:tc>
          <w:tcPr>
            <w:tcW w:w="1950" w:type="dxa"/>
            <w:tcBorders>
              <w:top w:val="nil"/>
              <w:left w:val="nil"/>
              <w:bottom w:val="nil"/>
              <w:right w:val="nil"/>
            </w:tcBorders>
            <w:shd w:val="clear" w:color="auto" w:fill="auto"/>
            <w:noWrap/>
            <w:vAlign w:val="center"/>
            <w:hideMark/>
          </w:tcPr>
          <w:p w14:paraId="7C9D57A9"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12.1%</w:t>
            </w:r>
          </w:p>
        </w:tc>
      </w:tr>
      <w:tr w:rsidR="00664E9E" w:rsidRPr="00664E9E" w14:paraId="242345CE" w14:textId="77777777" w:rsidTr="006F3BBB">
        <w:trPr>
          <w:trHeight w:val="360"/>
          <w:jc w:val="center"/>
        </w:trPr>
        <w:tc>
          <w:tcPr>
            <w:tcW w:w="1134" w:type="dxa"/>
            <w:tcBorders>
              <w:top w:val="nil"/>
              <w:left w:val="nil"/>
              <w:bottom w:val="nil"/>
              <w:right w:val="nil"/>
            </w:tcBorders>
            <w:shd w:val="clear" w:color="auto" w:fill="auto"/>
            <w:noWrap/>
            <w:vAlign w:val="center"/>
            <w:hideMark/>
          </w:tcPr>
          <w:p w14:paraId="0FA8120B"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112</w:t>
            </w:r>
            <w:r w:rsidRPr="00664E9E">
              <w:rPr>
                <w:rFonts w:ascii="Times New Roman" w:eastAsia="標楷體" w:hAnsi="Times New Roman" w:cs="Times New Roman"/>
                <w:kern w:val="0"/>
              </w:rPr>
              <w:t>年</w:t>
            </w:r>
          </w:p>
        </w:tc>
        <w:tc>
          <w:tcPr>
            <w:tcW w:w="1949" w:type="dxa"/>
            <w:tcBorders>
              <w:top w:val="nil"/>
              <w:left w:val="nil"/>
              <w:bottom w:val="nil"/>
              <w:right w:val="nil"/>
            </w:tcBorders>
            <w:shd w:val="clear" w:color="auto" w:fill="auto"/>
            <w:noWrap/>
            <w:vAlign w:val="center"/>
            <w:hideMark/>
          </w:tcPr>
          <w:p w14:paraId="3DC8E426"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16.1%</w:t>
            </w:r>
          </w:p>
        </w:tc>
        <w:tc>
          <w:tcPr>
            <w:tcW w:w="1949" w:type="dxa"/>
            <w:tcBorders>
              <w:top w:val="nil"/>
              <w:left w:val="nil"/>
              <w:bottom w:val="nil"/>
              <w:right w:val="nil"/>
            </w:tcBorders>
            <w:shd w:val="clear" w:color="auto" w:fill="auto"/>
            <w:noWrap/>
            <w:vAlign w:val="center"/>
            <w:hideMark/>
          </w:tcPr>
          <w:p w14:paraId="5EE54977"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17.5%</w:t>
            </w:r>
          </w:p>
        </w:tc>
        <w:tc>
          <w:tcPr>
            <w:tcW w:w="1949" w:type="dxa"/>
            <w:tcBorders>
              <w:top w:val="nil"/>
              <w:left w:val="nil"/>
              <w:bottom w:val="nil"/>
              <w:right w:val="nil"/>
            </w:tcBorders>
            <w:shd w:val="clear" w:color="auto" w:fill="auto"/>
            <w:noWrap/>
            <w:vAlign w:val="center"/>
            <w:hideMark/>
          </w:tcPr>
          <w:p w14:paraId="1D4034E5"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18.5%</w:t>
            </w:r>
          </w:p>
        </w:tc>
        <w:tc>
          <w:tcPr>
            <w:tcW w:w="1950" w:type="dxa"/>
            <w:tcBorders>
              <w:top w:val="nil"/>
              <w:left w:val="nil"/>
              <w:bottom w:val="nil"/>
              <w:right w:val="nil"/>
            </w:tcBorders>
            <w:shd w:val="clear" w:color="auto" w:fill="auto"/>
            <w:noWrap/>
            <w:vAlign w:val="center"/>
            <w:hideMark/>
          </w:tcPr>
          <w:p w14:paraId="433A06CA"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12.4%</w:t>
            </w:r>
          </w:p>
        </w:tc>
      </w:tr>
      <w:tr w:rsidR="00664E9E" w:rsidRPr="00664E9E" w14:paraId="5A3333ED" w14:textId="77777777" w:rsidTr="006F3BBB">
        <w:trPr>
          <w:trHeight w:val="360"/>
          <w:jc w:val="center"/>
        </w:trPr>
        <w:tc>
          <w:tcPr>
            <w:tcW w:w="1134" w:type="dxa"/>
            <w:tcBorders>
              <w:top w:val="nil"/>
              <w:left w:val="nil"/>
              <w:bottom w:val="single" w:sz="4" w:space="0" w:color="auto"/>
              <w:right w:val="nil"/>
            </w:tcBorders>
            <w:shd w:val="clear" w:color="auto" w:fill="auto"/>
            <w:noWrap/>
            <w:vAlign w:val="center"/>
            <w:hideMark/>
          </w:tcPr>
          <w:p w14:paraId="7839C22E"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113</w:t>
            </w:r>
            <w:r w:rsidRPr="00664E9E">
              <w:rPr>
                <w:rFonts w:ascii="Times New Roman" w:eastAsia="標楷體" w:hAnsi="Times New Roman" w:cs="Times New Roman"/>
                <w:kern w:val="0"/>
              </w:rPr>
              <w:t>年</w:t>
            </w:r>
          </w:p>
        </w:tc>
        <w:tc>
          <w:tcPr>
            <w:tcW w:w="1949" w:type="dxa"/>
            <w:tcBorders>
              <w:top w:val="nil"/>
              <w:left w:val="nil"/>
              <w:bottom w:val="single" w:sz="4" w:space="0" w:color="auto"/>
              <w:right w:val="nil"/>
            </w:tcBorders>
            <w:shd w:val="clear" w:color="auto" w:fill="auto"/>
            <w:noWrap/>
            <w:vAlign w:val="center"/>
            <w:hideMark/>
          </w:tcPr>
          <w:p w14:paraId="5ADB5073"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16.3%</w:t>
            </w:r>
          </w:p>
        </w:tc>
        <w:tc>
          <w:tcPr>
            <w:tcW w:w="1949" w:type="dxa"/>
            <w:tcBorders>
              <w:top w:val="nil"/>
              <w:left w:val="nil"/>
              <w:bottom w:val="single" w:sz="4" w:space="0" w:color="auto"/>
              <w:right w:val="nil"/>
            </w:tcBorders>
            <w:shd w:val="clear" w:color="auto" w:fill="auto"/>
            <w:noWrap/>
            <w:vAlign w:val="center"/>
            <w:hideMark/>
          </w:tcPr>
          <w:p w14:paraId="2AAA41CB"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w:t>
            </w:r>
          </w:p>
        </w:tc>
        <w:tc>
          <w:tcPr>
            <w:tcW w:w="1949" w:type="dxa"/>
            <w:tcBorders>
              <w:top w:val="nil"/>
              <w:left w:val="nil"/>
              <w:bottom w:val="single" w:sz="4" w:space="0" w:color="auto"/>
              <w:right w:val="nil"/>
            </w:tcBorders>
            <w:shd w:val="clear" w:color="auto" w:fill="auto"/>
            <w:noWrap/>
            <w:vAlign w:val="center"/>
            <w:hideMark/>
          </w:tcPr>
          <w:p w14:paraId="60AABF71"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19.2%</w:t>
            </w:r>
          </w:p>
        </w:tc>
        <w:tc>
          <w:tcPr>
            <w:tcW w:w="1950" w:type="dxa"/>
            <w:tcBorders>
              <w:top w:val="nil"/>
              <w:left w:val="nil"/>
              <w:bottom w:val="single" w:sz="4" w:space="0" w:color="auto"/>
              <w:right w:val="nil"/>
            </w:tcBorders>
            <w:shd w:val="clear" w:color="auto" w:fill="auto"/>
            <w:noWrap/>
            <w:vAlign w:val="center"/>
            <w:hideMark/>
          </w:tcPr>
          <w:p w14:paraId="117F42D2" w14:textId="77777777" w:rsidR="00664E9E" w:rsidRPr="00664E9E" w:rsidRDefault="00664E9E" w:rsidP="007978F1">
            <w:pPr>
              <w:widowControl/>
              <w:jc w:val="center"/>
              <w:rPr>
                <w:rFonts w:ascii="Times New Roman" w:eastAsia="標楷體" w:hAnsi="Times New Roman" w:cs="Times New Roman"/>
                <w:kern w:val="0"/>
              </w:rPr>
            </w:pPr>
            <w:r w:rsidRPr="00664E9E">
              <w:rPr>
                <w:rFonts w:ascii="Times New Roman" w:eastAsia="標楷體" w:hAnsi="Times New Roman" w:cs="Times New Roman"/>
                <w:kern w:val="0"/>
              </w:rPr>
              <w:t>-</w:t>
            </w:r>
          </w:p>
        </w:tc>
      </w:tr>
      <w:tr w:rsidR="0086178D" w:rsidRPr="00664E9E" w14:paraId="445E5155" w14:textId="77777777" w:rsidTr="006F3BBB">
        <w:trPr>
          <w:trHeight w:val="360"/>
          <w:jc w:val="center"/>
        </w:trPr>
        <w:tc>
          <w:tcPr>
            <w:tcW w:w="8931" w:type="dxa"/>
            <w:gridSpan w:val="5"/>
            <w:tcBorders>
              <w:top w:val="single" w:sz="4" w:space="0" w:color="auto"/>
              <w:left w:val="nil"/>
              <w:bottom w:val="single" w:sz="8" w:space="0" w:color="auto"/>
              <w:right w:val="nil"/>
            </w:tcBorders>
            <w:shd w:val="clear" w:color="auto" w:fill="auto"/>
            <w:noWrap/>
            <w:vAlign w:val="center"/>
          </w:tcPr>
          <w:p w14:paraId="49EF5514" w14:textId="77777777" w:rsidR="0086178D" w:rsidRPr="0086178D" w:rsidRDefault="0086178D" w:rsidP="0086178D">
            <w:pPr>
              <w:widowControl/>
              <w:jc w:val="both"/>
              <w:rPr>
                <w:rFonts w:ascii="Times New Roman" w:eastAsia="標楷體" w:hAnsi="Times New Roman" w:cs="Times New Roman"/>
                <w:kern w:val="0"/>
              </w:rPr>
            </w:pPr>
            <w:r w:rsidRPr="0086178D">
              <w:rPr>
                <w:rFonts w:ascii="Times New Roman" w:eastAsia="標楷體" w:hAnsi="Times New Roman" w:cs="Times New Roman" w:hint="eastAsia"/>
                <w:kern w:val="0"/>
              </w:rPr>
              <w:t>註：</w:t>
            </w:r>
          </w:p>
          <w:p w14:paraId="719707CA" w14:textId="073F98A2" w:rsidR="0086178D" w:rsidRPr="0086178D" w:rsidRDefault="0086178D" w:rsidP="0086178D">
            <w:pPr>
              <w:pStyle w:val="a3"/>
              <w:widowControl/>
              <w:numPr>
                <w:ilvl w:val="0"/>
                <w:numId w:val="7"/>
              </w:numPr>
              <w:ind w:leftChars="0" w:left="254" w:hanging="254"/>
              <w:jc w:val="both"/>
              <w:rPr>
                <w:rFonts w:ascii="Times New Roman" w:eastAsia="標楷體" w:hAnsi="Times New Roman" w:cs="Times New Roman"/>
                <w:kern w:val="0"/>
              </w:rPr>
            </w:pPr>
            <w:r w:rsidRPr="0086178D">
              <w:rPr>
                <w:rFonts w:ascii="Times New Roman" w:eastAsia="標楷體" w:hAnsi="Times New Roman" w:cs="Times New Roman" w:hint="eastAsia"/>
                <w:kern w:val="0"/>
              </w:rPr>
              <w:t>資料來源：衛生福利部統計處</w:t>
            </w:r>
            <w:r w:rsidRPr="0086178D">
              <w:rPr>
                <w:rFonts w:ascii="Times New Roman" w:eastAsia="標楷體" w:hAnsi="Times New Roman" w:cs="Times New Roman" w:hint="eastAsia"/>
                <w:kern w:val="0"/>
              </w:rPr>
              <w:t>113</w:t>
            </w:r>
            <w:r w:rsidRPr="0086178D">
              <w:rPr>
                <w:rFonts w:ascii="Times New Roman" w:eastAsia="標楷體" w:hAnsi="Times New Roman" w:cs="Times New Roman" w:hint="eastAsia"/>
                <w:kern w:val="0"/>
              </w:rPr>
              <w:t>年國民醫療保健支出統計表、經濟合作與發展組織健康統計資料</w:t>
            </w:r>
            <w:r w:rsidRPr="0086178D">
              <w:rPr>
                <w:rFonts w:ascii="Times New Roman" w:eastAsia="標楷體" w:hAnsi="Times New Roman" w:cs="Times New Roman" w:hint="eastAsia"/>
                <w:kern w:val="0"/>
              </w:rPr>
              <w:t>(OECD Health Statistics)</w:t>
            </w:r>
            <w:r w:rsidRPr="0086178D">
              <w:rPr>
                <w:rFonts w:ascii="Times New Roman" w:eastAsia="標楷體" w:hAnsi="Times New Roman" w:cs="Times New Roman" w:hint="eastAsia"/>
                <w:kern w:val="0"/>
              </w:rPr>
              <w:t>，資料擷取時間</w:t>
            </w:r>
            <w:r w:rsidRPr="0086178D">
              <w:rPr>
                <w:rFonts w:ascii="Times New Roman" w:eastAsia="標楷體" w:hAnsi="Times New Roman" w:cs="Times New Roman" w:hint="eastAsia"/>
                <w:kern w:val="0"/>
              </w:rPr>
              <w:t>2025/12/15</w:t>
            </w:r>
            <w:r w:rsidRPr="0086178D">
              <w:rPr>
                <w:rFonts w:ascii="Times New Roman" w:eastAsia="標楷體" w:hAnsi="Times New Roman" w:cs="Times New Roman" w:hint="eastAsia"/>
                <w:kern w:val="0"/>
              </w:rPr>
              <w:t>、世界衛生組織全球衛生支出資料庫，資料擷取時間</w:t>
            </w:r>
            <w:r w:rsidRPr="0086178D">
              <w:rPr>
                <w:rFonts w:ascii="Times New Roman" w:eastAsia="標楷體" w:hAnsi="Times New Roman" w:cs="Times New Roman" w:hint="eastAsia"/>
                <w:kern w:val="0"/>
              </w:rPr>
              <w:t>2025/12/15</w:t>
            </w:r>
            <w:r w:rsidRPr="0086178D">
              <w:rPr>
                <w:rFonts w:ascii="Times New Roman" w:eastAsia="標楷體" w:hAnsi="Times New Roman" w:cs="Times New Roman" w:hint="eastAsia"/>
                <w:kern w:val="0"/>
              </w:rPr>
              <w:t>。</w:t>
            </w:r>
          </w:p>
          <w:p w14:paraId="4A12D7C7" w14:textId="16C1DAD8" w:rsidR="0086178D" w:rsidRPr="0086178D" w:rsidRDefault="0086178D" w:rsidP="0086178D">
            <w:pPr>
              <w:pStyle w:val="a3"/>
              <w:widowControl/>
              <w:numPr>
                <w:ilvl w:val="0"/>
                <w:numId w:val="7"/>
              </w:numPr>
              <w:ind w:leftChars="0" w:left="254" w:hanging="254"/>
              <w:jc w:val="both"/>
              <w:rPr>
                <w:rFonts w:ascii="Times New Roman" w:eastAsia="標楷體" w:hAnsi="Times New Roman" w:cs="Times New Roman"/>
                <w:kern w:val="0"/>
              </w:rPr>
            </w:pPr>
            <w:r w:rsidRPr="0086178D">
              <w:rPr>
                <w:rFonts w:ascii="Times New Roman" w:eastAsia="標楷體" w:hAnsi="Times New Roman" w:cs="Times New Roman" w:hint="eastAsia"/>
                <w:kern w:val="0"/>
              </w:rPr>
              <w:t>藥品消費支出包含醫院門診藥費、診所</w:t>
            </w:r>
            <w:r w:rsidRPr="0086178D">
              <w:rPr>
                <w:rFonts w:ascii="Times New Roman" w:eastAsia="標楷體" w:hAnsi="Times New Roman" w:cs="Times New Roman" w:hint="eastAsia"/>
                <w:kern w:val="0"/>
              </w:rPr>
              <w:t>(</w:t>
            </w:r>
            <w:r w:rsidRPr="0086178D">
              <w:rPr>
                <w:rFonts w:ascii="Times New Roman" w:eastAsia="標楷體" w:hAnsi="Times New Roman" w:cs="Times New Roman" w:hint="eastAsia"/>
                <w:kern w:val="0"/>
              </w:rPr>
              <w:t>西醫、中醫及牙醫</w:t>
            </w:r>
            <w:r w:rsidRPr="0086178D">
              <w:rPr>
                <w:rFonts w:ascii="Times New Roman" w:eastAsia="標楷體" w:hAnsi="Times New Roman" w:cs="Times New Roman" w:hint="eastAsia"/>
                <w:kern w:val="0"/>
              </w:rPr>
              <w:t>)</w:t>
            </w:r>
            <w:r w:rsidRPr="0086178D">
              <w:rPr>
                <w:rFonts w:ascii="Times New Roman" w:eastAsia="標楷體" w:hAnsi="Times New Roman" w:cs="Times New Roman" w:hint="eastAsia"/>
                <w:kern w:val="0"/>
              </w:rPr>
              <w:t>藥費、醫藥及保健用品支出之西藥與中藥。</w:t>
            </w:r>
          </w:p>
          <w:p w14:paraId="6D0DC57E" w14:textId="610503BC" w:rsidR="0086178D" w:rsidRPr="00664E9E" w:rsidRDefault="0086178D" w:rsidP="0086178D">
            <w:pPr>
              <w:pStyle w:val="a3"/>
              <w:widowControl/>
              <w:numPr>
                <w:ilvl w:val="0"/>
                <w:numId w:val="7"/>
              </w:numPr>
              <w:ind w:leftChars="0" w:left="254" w:hanging="254"/>
              <w:jc w:val="both"/>
              <w:rPr>
                <w:rFonts w:ascii="Times New Roman" w:eastAsia="標楷體" w:hAnsi="Times New Roman" w:cs="Times New Roman"/>
                <w:kern w:val="0"/>
              </w:rPr>
            </w:pPr>
            <w:r w:rsidRPr="0086178D">
              <w:rPr>
                <w:rFonts w:ascii="Times New Roman" w:eastAsia="標楷體" w:hAnsi="Times New Roman" w:cs="Times New Roman"/>
                <w:kern w:val="0"/>
              </w:rPr>
              <w:tab/>
              <w:t xml:space="preserve">OECD </w:t>
            </w:r>
            <w:r w:rsidRPr="0086178D">
              <w:rPr>
                <w:rFonts w:ascii="Times New Roman" w:eastAsia="標楷體" w:hAnsi="Times New Roman" w:cs="Times New Roman" w:hint="eastAsia"/>
                <w:kern w:val="0"/>
              </w:rPr>
              <w:t>國家藥品消費支出為其健康統計資料中「藥費及其他醫療非耐久財｣項下「處方藥｣及「非處方藥｣</w:t>
            </w:r>
            <w:r w:rsidRPr="0086178D">
              <w:rPr>
                <w:rFonts w:ascii="Times New Roman" w:eastAsia="標楷體" w:hAnsi="Times New Roman" w:cs="Times New Roman"/>
                <w:kern w:val="0"/>
              </w:rPr>
              <w:t xml:space="preserve"> </w:t>
            </w:r>
            <w:r w:rsidRPr="0086178D">
              <w:rPr>
                <w:rFonts w:ascii="Times New Roman" w:eastAsia="標楷體" w:hAnsi="Times New Roman" w:cs="Times New Roman" w:hint="eastAsia"/>
                <w:kern w:val="0"/>
              </w:rPr>
              <w:t>之合計。</w:t>
            </w:r>
          </w:p>
        </w:tc>
      </w:tr>
    </w:tbl>
    <w:p w14:paraId="7A52056F" w14:textId="77777777" w:rsidR="006F3BBB" w:rsidRDefault="006F3BBB" w:rsidP="00180B50">
      <w:pPr>
        <w:spacing w:line="440" w:lineRule="exact"/>
        <w:jc w:val="both"/>
        <w:rPr>
          <w:rFonts w:ascii="Times New Roman" w:eastAsia="標楷體" w:hAnsi="Times New Roman" w:cs="Times New Roman"/>
          <w:color w:val="000000"/>
          <w:sz w:val="28"/>
          <w:szCs w:val="28"/>
        </w:rPr>
      </w:pPr>
    </w:p>
    <w:p w14:paraId="4EBE84AD" w14:textId="5CB55573" w:rsidR="00180B50" w:rsidRPr="00180B50" w:rsidRDefault="002A676B" w:rsidP="007C6522">
      <w:pPr>
        <w:widowControl/>
        <w:spacing w:line="440" w:lineRule="exact"/>
        <w:rPr>
          <w:rFonts w:ascii="Times New Roman" w:eastAsia="標楷體" w:hAnsi="Times New Roman" w:cs="Times New Roman"/>
          <w:color w:val="000000"/>
          <w:sz w:val="28"/>
          <w:szCs w:val="28"/>
        </w:rPr>
      </w:pPr>
      <w:r w:rsidRPr="00180B50">
        <w:rPr>
          <w:rFonts w:ascii="Times New Roman" w:eastAsia="標楷體" w:hAnsi="Times New Roman" w:cs="Times New Roman"/>
          <w:noProof/>
          <w:sz w:val="28"/>
          <w:szCs w:val="28"/>
        </w:rPr>
        <mc:AlternateContent>
          <mc:Choice Requires="wps">
            <w:drawing>
              <wp:anchor distT="45720" distB="45720" distL="114300" distR="114300" simplePos="0" relativeHeight="251661312" behindDoc="0" locked="0" layoutInCell="1" allowOverlap="1" wp14:anchorId="4901C35C" wp14:editId="0991C8C0">
                <wp:simplePos x="0" y="0"/>
                <wp:positionH relativeFrom="margin">
                  <wp:align>right</wp:align>
                </wp:positionH>
                <wp:positionV relativeFrom="paragraph">
                  <wp:posOffset>77470</wp:posOffset>
                </wp:positionV>
                <wp:extent cx="5734050" cy="1404620"/>
                <wp:effectExtent l="0" t="0" r="19050" b="1397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7DF4C180" w14:textId="53410A9F"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hint="eastAsia"/>
                                <w:color w:val="000000"/>
                                <w:sz w:val="28"/>
                                <w:szCs w:val="28"/>
                              </w:rPr>
                              <w:t>革新核價與支付制度</w:t>
                            </w:r>
                            <w:r w:rsidR="007C4A7F" w:rsidRPr="00180B50">
                              <w:rPr>
                                <w:rFonts w:ascii="Times New Roman" w:eastAsia="標楷體" w:hAnsi="Times New Roman" w:cs="Times New Roman"/>
                                <w:color w:val="000000"/>
                                <w:sz w:val="28"/>
                                <w:szCs w:val="28"/>
                              </w:rPr>
                              <w:t>——</w:t>
                            </w:r>
                            <w:r w:rsidRPr="00180B50">
                              <w:rPr>
                                <w:rFonts w:ascii="Times New Roman" w:eastAsia="標楷體" w:hAnsi="Times New Roman" w:cs="Times New Roman" w:hint="eastAsia"/>
                                <w:color w:val="000000"/>
                                <w:sz w:val="28"/>
                                <w:szCs w:val="28"/>
                              </w:rPr>
                              <w:t>如何建立具國際競爭力的定價策略並落實以方法學為基礎的「標準化核價程序」？導入「新藥部分負擔」制度，是否有助於兼顧新藥可近性與健保財務負擔？</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01C35C" id="_x0000_t202" coordsize="21600,21600" o:spt="202" path="m,l,21600r21600,l21600,xe">
                <v:stroke joinstyle="miter"/>
                <v:path gradientshapeok="t" o:connecttype="rect"/>
              </v:shapetype>
              <v:shape id="_x0000_s1027" type="#_x0000_t202" style="position:absolute;margin-left:400.3pt;margin-top:6.1pt;width:451.5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">
                <v:textbox style="mso-fit-shape-to-text:t">
                  <w:txbxContent>
                    <w:p w14:paraId="7DF4C180" w14:textId="53410A9F"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hint="eastAsia"/>
                          <w:color w:val="000000"/>
                          <w:sz w:val="28"/>
                          <w:szCs w:val="28"/>
                        </w:rPr>
                        <w:t>革新核價與支付制度</w:t>
                      </w:r>
                      <w:r w:rsidR="007C4A7F" w:rsidRPr="00180B50">
                        <w:rPr>
                          <w:rFonts w:ascii="Times New Roman" w:eastAsia="標楷體" w:hAnsi="Times New Roman" w:cs="Times New Roman"/>
                          <w:color w:val="000000"/>
                          <w:sz w:val="28"/>
                          <w:szCs w:val="28"/>
                        </w:rPr>
                        <w:t>——</w:t>
                      </w:r>
                      <w:r w:rsidRPr="00180B50">
                        <w:rPr>
                          <w:rFonts w:ascii="Times New Roman" w:eastAsia="標楷體" w:hAnsi="Times New Roman" w:cs="Times New Roman" w:hint="eastAsia"/>
                          <w:color w:val="000000"/>
                          <w:sz w:val="28"/>
                          <w:szCs w:val="28"/>
                        </w:rPr>
                        <w:t>如何建立具國際競爭力的定價策略並落實以方法學為基礎的「標準化核價程序」？導入「新藥部分負擔」制度，是否有助於兼顧新藥可近性與健保財務負擔？</w:t>
                      </w:r>
                    </w:p>
                  </w:txbxContent>
                </v:textbox>
                <w10:wrap type="square" anchorx="margin"/>
              </v:shape>
            </w:pict>
          </mc:Fallback>
        </mc:AlternateContent>
      </w:r>
      <w:r>
        <w:rPr>
          <w:rFonts w:ascii="Times New Roman" w:eastAsia="標楷體" w:hAnsi="Times New Roman" w:cs="Times New Roman" w:hint="eastAsia"/>
          <w:color w:val="000000"/>
          <w:sz w:val="28"/>
          <w:szCs w:val="28"/>
          <w:shd w:val="pct15" w:color="auto" w:fill="FFFFFF"/>
        </w:rPr>
        <w:t>本署</w:t>
      </w:r>
      <w:r w:rsidRPr="00766A9C">
        <w:rPr>
          <w:rFonts w:ascii="Times New Roman" w:eastAsia="標楷體" w:hAnsi="Times New Roman" w:cs="Times New Roman" w:hint="eastAsia"/>
          <w:color w:val="000000"/>
          <w:sz w:val="28"/>
          <w:szCs w:val="28"/>
          <w:shd w:val="pct15" w:color="auto" w:fill="FFFFFF"/>
        </w:rPr>
        <w:t>說明：</w:t>
      </w:r>
    </w:p>
    <w:p w14:paraId="071050D4" w14:textId="389E88B1" w:rsidR="004E48F2" w:rsidRPr="00E14E9B" w:rsidRDefault="004E48F2" w:rsidP="004E48F2">
      <w:pPr>
        <w:spacing w:line="440" w:lineRule="exact"/>
        <w:jc w:val="both"/>
        <w:rPr>
          <w:rFonts w:ascii="Times New Roman" w:eastAsia="標楷體" w:hAnsi="Times New Roman" w:cs="Times New Roman"/>
          <w:b/>
          <w:bCs/>
          <w:color w:val="000000"/>
          <w:sz w:val="28"/>
          <w:szCs w:val="28"/>
        </w:rPr>
      </w:pPr>
      <w:r w:rsidRPr="00E14E9B">
        <w:rPr>
          <w:rFonts w:ascii="Times New Roman" w:eastAsia="標楷體" w:hAnsi="Times New Roman" w:cs="Times New Roman" w:hint="eastAsia"/>
          <w:b/>
          <w:bCs/>
          <w:color w:val="000000"/>
          <w:sz w:val="28"/>
          <w:szCs w:val="28"/>
        </w:rPr>
        <w:t>以方法學建立公平性、制度設計提升</w:t>
      </w:r>
      <w:r w:rsidR="00E14E9B">
        <w:rPr>
          <w:rFonts w:ascii="Times New Roman" w:eastAsia="標楷體" w:hAnsi="Times New Roman" w:cs="Times New Roman" w:hint="eastAsia"/>
          <w:b/>
          <w:bCs/>
          <w:color w:val="000000"/>
          <w:sz w:val="28"/>
          <w:szCs w:val="28"/>
        </w:rPr>
        <w:t>納入給付彈性</w:t>
      </w:r>
      <w:r w:rsidRPr="00E14E9B">
        <w:rPr>
          <w:rFonts w:ascii="Times New Roman" w:eastAsia="標楷體" w:hAnsi="Times New Roman" w:cs="Times New Roman" w:hint="eastAsia"/>
          <w:b/>
          <w:bCs/>
          <w:color w:val="000000"/>
          <w:sz w:val="28"/>
          <w:szCs w:val="28"/>
        </w:rPr>
        <w:t>，在</w:t>
      </w:r>
      <w:r w:rsidR="00E14E9B" w:rsidRPr="00E14E9B">
        <w:rPr>
          <w:rFonts w:ascii="Times New Roman" w:eastAsia="標楷體" w:hAnsi="Times New Roman" w:cs="Times New Roman" w:hint="eastAsia"/>
          <w:b/>
          <w:bCs/>
          <w:color w:val="000000"/>
          <w:sz w:val="28"/>
          <w:szCs w:val="28"/>
        </w:rPr>
        <w:t>兼顧</w:t>
      </w:r>
      <w:r w:rsidRPr="00E14E9B">
        <w:rPr>
          <w:rFonts w:ascii="Times New Roman" w:eastAsia="標楷體" w:hAnsi="Times New Roman" w:cs="Times New Roman" w:hint="eastAsia"/>
          <w:b/>
          <w:bCs/>
          <w:color w:val="000000"/>
          <w:sz w:val="28"/>
          <w:szCs w:val="28"/>
        </w:rPr>
        <w:t>健保永續</w:t>
      </w:r>
      <w:r w:rsidR="00E14E9B" w:rsidRPr="00E14E9B">
        <w:rPr>
          <w:rFonts w:ascii="Times New Roman" w:eastAsia="標楷體" w:hAnsi="Times New Roman" w:cs="Times New Roman" w:hint="eastAsia"/>
          <w:b/>
          <w:bCs/>
          <w:color w:val="000000"/>
          <w:sz w:val="28"/>
          <w:szCs w:val="28"/>
        </w:rPr>
        <w:t>下</w:t>
      </w:r>
      <w:r w:rsidRPr="00E14E9B">
        <w:rPr>
          <w:rFonts w:ascii="Times New Roman" w:eastAsia="標楷體" w:hAnsi="Times New Roman" w:cs="Times New Roman" w:hint="eastAsia"/>
          <w:b/>
          <w:bCs/>
          <w:color w:val="000000"/>
          <w:sz w:val="28"/>
          <w:szCs w:val="28"/>
        </w:rPr>
        <w:t>，也讓</w:t>
      </w:r>
      <w:r w:rsidR="00E14E9B" w:rsidRPr="00E14E9B">
        <w:rPr>
          <w:rFonts w:ascii="Times New Roman" w:eastAsia="標楷體" w:hAnsi="Times New Roman" w:cs="Times New Roman" w:hint="eastAsia"/>
          <w:b/>
          <w:bCs/>
          <w:color w:val="000000"/>
          <w:sz w:val="28"/>
          <w:szCs w:val="28"/>
        </w:rPr>
        <w:t>我國</w:t>
      </w:r>
      <w:r w:rsidRPr="00E14E9B">
        <w:rPr>
          <w:rFonts w:ascii="Times New Roman" w:eastAsia="標楷體" w:hAnsi="Times New Roman" w:cs="Times New Roman" w:hint="eastAsia"/>
          <w:b/>
          <w:bCs/>
          <w:color w:val="000000"/>
          <w:sz w:val="28"/>
          <w:szCs w:val="28"/>
        </w:rPr>
        <w:t>成為創新醫療可及的重要市場。</w:t>
      </w:r>
    </w:p>
    <w:p w14:paraId="2AC58D01" w14:textId="53EFB2AA" w:rsidR="00E82EFF" w:rsidRPr="00BB44F2" w:rsidRDefault="00AB6796" w:rsidP="00BB44F2">
      <w:pPr>
        <w:pStyle w:val="a3"/>
        <w:numPr>
          <w:ilvl w:val="0"/>
          <w:numId w:val="21"/>
        </w:numPr>
        <w:spacing w:line="440" w:lineRule="exact"/>
        <w:ind w:leftChars="0"/>
        <w:jc w:val="both"/>
        <w:rPr>
          <w:rFonts w:ascii="Times New Roman" w:eastAsia="標楷體" w:hAnsi="Times New Roman" w:cs="Times New Roman"/>
          <w:color w:val="000000"/>
          <w:sz w:val="28"/>
          <w:szCs w:val="28"/>
        </w:rPr>
      </w:pPr>
      <w:r w:rsidRPr="00BB44F2">
        <w:rPr>
          <w:rFonts w:ascii="Times New Roman" w:eastAsia="標楷體" w:hAnsi="Times New Roman" w:cs="Times New Roman" w:hint="eastAsia"/>
          <w:color w:val="000000"/>
          <w:sz w:val="28"/>
          <w:szCs w:val="28"/>
        </w:rPr>
        <w:t>本署依</w:t>
      </w:r>
      <w:r w:rsidR="00417989" w:rsidRPr="00BB44F2">
        <w:rPr>
          <w:rFonts w:ascii="Times New Roman" w:eastAsia="標楷體" w:hAnsi="Times New Roman" w:cs="Times New Roman" w:hint="eastAsia"/>
          <w:sz w:val="28"/>
        </w:rPr>
        <w:t>全民健康保險藥物給付項目及支付標準規定，依各藥品類別之支付價格訂定原則進行核價，</w:t>
      </w:r>
      <w:r w:rsidR="00417989" w:rsidRPr="00BB44F2">
        <w:rPr>
          <w:rFonts w:ascii="Times New Roman" w:eastAsia="標楷體" w:hAnsi="Times New Roman" w:cs="Times New Roman" w:hint="eastAsia"/>
          <w:color w:val="000000"/>
          <w:sz w:val="28"/>
          <w:szCs w:val="28"/>
        </w:rPr>
        <w:t>強化以</w:t>
      </w:r>
      <w:r w:rsidR="00417989" w:rsidRPr="00BB44F2">
        <w:rPr>
          <w:rFonts w:ascii="Times New Roman" w:eastAsia="標楷體" w:hAnsi="Times New Roman" w:cs="Times New Roman" w:hint="eastAsia"/>
          <w:color w:val="000000"/>
          <w:sz w:val="28"/>
          <w:szCs w:val="28"/>
        </w:rPr>
        <w:t>HTA</w:t>
      </w:r>
      <w:r w:rsidR="00417989" w:rsidRPr="00BB44F2">
        <w:rPr>
          <w:rFonts w:ascii="Times New Roman" w:eastAsia="標楷體" w:hAnsi="Times New Roman" w:cs="Times New Roman" w:hint="eastAsia"/>
          <w:color w:val="000000"/>
          <w:sz w:val="28"/>
          <w:szCs w:val="28"/>
        </w:rPr>
        <w:t>為核心的標準化核價程序，基於科學證據，運用藥物經濟學、臨床效益和成本效益分析</w:t>
      </w:r>
      <w:r w:rsidR="002A676B" w:rsidRPr="00BB44F2">
        <w:rPr>
          <w:rFonts w:ascii="Times New Roman" w:eastAsia="標楷體" w:hAnsi="Times New Roman" w:cs="Times New Roman" w:hint="eastAsia"/>
          <w:color w:val="000000"/>
          <w:sz w:val="28"/>
          <w:szCs w:val="28"/>
        </w:rPr>
        <w:t>，</w:t>
      </w:r>
      <w:r w:rsidR="00055F18" w:rsidRPr="00BB44F2">
        <w:rPr>
          <w:rFonts w:ascii="Times New Roman" w:eastAsia="標楷體" w:hAnsi="Times New Roman" w:cs="Times New Roman" w:hint="eastAsia"/>
          <w:color w:val="000000"/>
          <w:sz w:val="28"/>
          <w:szCs w:val="28"/>
        </w:rPr>
        <w:t>並</w:t>
      </w:r>
      <w:r w:rsidR="002A676B" w:rsidRPr="00BB44F2">
        <w:rPr>
          <w:rFonts w:ascii="Times New Roman" w:eastAsia="標楷體" w:hAnsi="Times New Roman" w:cs="Times New Roman" w:hint="eastAsia"/>
          <w:color w:val="000000"/>
          <w:sz w:val="28"/>
          <w:szCs w:val="28"/>
        </w:rPr>
        <w:t>綜合考量臨床治療需求、倫理價值等</w:t>
      </w:r>
      <w:r w:rsidR="00E82EFF" w:rsidRPr="00BB44F2">
        <w:rPr>
          <w:rFonts w:ascii="Times New Roman" w:eastAsia="標楷體" w:hAnsi="Times New Roman" w:cs="Times New Roman" w:hint="eastAsia"/>
          <w:color w:val="000000"/>
          <w:sz w:val="28"/>
          <w:szCs w:val="28"/>
        </w:rPr>
        <w:t>面向，</w:t>
      </w:r>
      <w:r w:rsidR="00417989" w:rsidRPr="00BB44F2">
        <w:rPr>
          <w:rFonts w:ascii="Times New Roman" w:eastAsia="標楷體" w:hAnsi="Times New Roman" w:cs="Times New Roman" w:hint="eastAsia"/>
          <w:color w:val="000000"/>
          <w:sz w:val="28"/>
          <w:szCs w:val="28"/>
        </w:rPr>
        <w:t>訂定新藥合理價格</w:t>
      </w:r>
      <w:r w:rsidR="00E82EFF" w:rsidRPr="00BB44F2">
        <w:rPr>
          <w:rFonts w:ascii="Times New Roman" w:eastAsia="標楷體" w:hAnsi="Times New Roman" w:cs="Times New Roman" w:hint="eastAsia"/>
          <w:color w:val="000000"/>
          <w:sz w:val="28"/>
          <w:szCs w:val="28"/>
        </w:rPr>
        <w:t>。</w:t>
      </w:r>
    </w:p>
    <w:p w14:paraId="713A2F31" w14:textId="27559AD6" w:rsidR="00042880" w:rsidRPr="00BB44F2" w:rsidRDefault="00042880" w:rsidP="00BB44F2">
      <w:pPr>
        <w:pStyle w:val="a3"/>
        <w:numPr>
          <w:ilvl w:val="0"/>
          <w:numId w:val="21"/>
        </w:numPr>
        <w:spacing w:line="440" w:lineRule="exact"/>
        <w:ind w:leftChars="0"/>
        <w:jc w:val="both"/>
        <w:rPr>
          <w:rFonts w:ascii="Times New Roman" w:eastAsia="標楷體" w:hAnsi="Times New Roman" w:cs="Times New Roman"/>
          <w:color w:val="000000"/>
          <w:sz w:val="28"/>
          <w:szCs w:val="28"/>
        </w:rPr>
      </w:pPr>
      <w:r w:rsidRPr="00BB44F2">
        <w:rPr>
          <w:rFonts w:ascii="Times New Roman" w:eastAsia="標楷體" w:hAnsi="Times New Roman" w:cs="Times New Roman" w:hint="eastAsia"/>
          <w:color w:val="000000"/>
          <w:sz w:val="28"/>
          <w:szCs w:val="28"/>
        </w:rPr>
        <w:t>若為較現行治療具有療效佳、安全性高、更具方便性之藥品及兒童製劑，健保亦有加價鼓勵措施，每個項目均最高可加算</w:t>
      </w:r>
      <w:r w:rsidRPr="00BB44F2">
        <w:rPr>
          <w:rFonts w:ascii="Times New Roman" w:eastAsia="標楷體" w:hAnsi="Times New Roman" w:cs="Times New Roman" w:hint="eastAsia"/>
          <w:color w:val="000000"/>
          <w:sz w:val="28"/>
          <w:szCs w:val="28"/>
        </w:rPr>
        <w:t>15%</w:t>
      </w:r>
      <w:r w:rsidRPr="00BB44F2">
        <w:rPr>
          <w:rFonts w:ascii="Times New Roman" w:eastAsia="標楷體" w:hAnsi="Times New Roman" w:cs="Times New Roman" w:hint="eastAsia"/>
          <w:color w:val="000000"/>
          <w:sz w:val="28"/>
          <w:szCs w:val="28"/>
        </w:rPr>
        <w:t>。另對於致力於國人族群特異性療效及安全性之研發</w:t>
      </w:r>
      <w:r w:rsidR="007C6522" w:rsidRPr="00BB44F2">
        <w:rPr>
          <w:rFonts w:ascii="Times New Roman" w:eastAsia="標楷體" w:hAnsi="Times New Roman" w:cs="Times New Roman" w:hint="eastAsia"/>
          <w:color w:val="000000"/>
          <w:sz w:val="28"/>
          <w:szCs w:val="28"/>
        </w:rPr>
        <w:t>且</w:t>
      </w:r>
      <w:r w:rsidRPr="00BB44F2">
        <w:rPr>
          <w:rFonts w:ascii="Times New Roman" w:eastAsia="標楷體" w:hAnsi="Times New Roman" w:cs="Times New Roman" w:hint="eastAsia"/>
          <w:color w:val="000000"/>
          <w:sz w:val="28"/>
          <w:szCs w:val="28"/>
        </w:rPr>
        <w:t>在國內實施臨床試驗達一定規模者</w:t>
      </w:r>
      <w:r w:rsidR="007C6522" w:rsidRPr="00BB44F2">
        <w:rPr>
          <w:rFonts w:ascii="Times New Roman" w:eastAsia="標楷體" w:hAnsi="Times New Roman" w:cs="Times New Roman" w:hint="eastAsia"/>
          <w:color w:val="000000"/>
          <w:sz w:val="28"/>
          <w:szCs w:val="28"/>
        </w:rPr>
        <w:t>及國內進行藥物經濟學臨床研究者</w:t>
      </w:r>
      <w:r w:rsidRPr="00BB44F2">
        <w:rPr>
          <w:rFonts w:ascii="Times New Roman" w:eastAsia="標楷體" w:hAnsi="Times New Roman" w:cs="Times New Roman" w:hint="eastAsia"/>
          <w:color w:val="000000"/>
          <w:sz w:val="28"/>
          <w:szCs w:val="28"/>
        </w:rPr>
        <w:t>，最高可加算</w:t>
      </w:r>
      <w:r w:rsidRPr="00BB44F2">
        <w:rPr>
          <w:rFonts w:ascii="Times New Roman" w:eastAsia="標楷體" w:hAnsi="Times New Roman" w:cs="Times New Roman" w:hint="eastAsia"/>
          <w:color w:val="000000"/>
          <w:sz w:val="28"/>
          <w:szCs w:val="28"/>
        </w:rPr>
        <w:t>10%</w:t>
      </w:r>
      <w:r w:rsidRPr="00BB44F2">
        <w:rPr>
          <w:rFonts w:ascii="Times New Roman" w:eastAsia="標楷體" w:hAnsi="Times New Roman" w:cs="Times New Roman" w:hint="eastAsia"/>
          <w:color w:val="000000"/>
          <w:sz w:val="28"/>
          <w:szCs w:val="28"/>
        </w:rPr>
        <w:t>（全民健康保險藥物給付項目及支付標準第</w:t>
      </w:r>
      <w:r w:rsidRPr="00BB44F2">
        <w:rPr>
          <w:rFonts w:ascii="Times New Roman" w:eastAsia="標楷體" w:hAnsi="Times New Roman" w:cs="Times New Roman" w:hint="eastAsia"/>
          <w:color w:val="000000"/>
          <w:sz w:val="28"/>
          <w:szCs w:val="28"/>
        </w:rPr>
        <w:t>17</w:t>
      </w:r>
      <w:r w:rsidRPr="00BB44F2">
        <w:rPr>
          <w:rFonts w:ascii="Times New Roman" w:eastAsia="標楷體" w:hAnsi="Times New Roman" w:cs="Times New Roman" w:hint="eastAsia"/>
          <w:color w:val="000000"/>
          <w:sz w:val="28"/>
          <w:szCs w:val="28"/>
        </w:rPr>
        <w:t>、</w:t>
      </w:r>
      <w:r w:rsidRPr="00BB44F2">
        <w:rPr>
          <w:rFonts w:ascii="Times New Roman" w:eastAsia="標楷體" w:hAnsi="Times New Roman" w:cs="Times New Roman" w:hint="eastAsia"/>
          <w:color w:val="000000"/>
          <w:sz w:val="28"/>
          <w:szCs w:val="28"/>
        </w:rPr>
        <w:t>18</w:t>
      </w:r>
      <w:r w:rsidRPr="00BB44F2">
        <w:rPr>
          <w:rFonts w:ascii="Times New Roman" w:eastAsia="標楷體" w:hAnsi="Times New Roman" w:cs="Times New Roman" w:hint="eastAsia"/>
          <w:color w:val="000000"/>
          <w:sz w:val="28"/>
          <w:szCs w:val="28"/>
        </w:rPr>
        <w:t>條）。</w:t>
      </w:r>
    </w:p>
    <w:p w14:paraId="079EE944" w14:textId="5282E5B1" w:rsidR="00055F18" w:rsidRPr="00BB44F2" w:rsidRDefault="008D3B75" w:rsidP="00BB44F2">
      <w:pPr>
        <w:pStyle w:val="a3"/>
        <w:numPr>
          <w:ilvl w:val="0"/>
          <w:numId w:val="21"/>
        </w:numPr>
        <w:spacing w:line="440" w:lineRule="exact"/>
        <w:ind w:leftChars="0"/>
        <w:jc w:val="both"/>
        <w:rPr>
          <w:rFonts w:ascii="Times New Roman" w:eastAsia="標楷體" w:hAnsi="Times New Roman" w:cs="Times New Roman"/>
          <w:color w:val="000000"/>
          <w:sz w:val="28"/>
          <w:szCs w:val="28"/>
        </w:rPr>
      </w:pPr>
      <w:r w:rsidRPr="00BB44F2">
        <w:rPr>
          <w:rFonts w:ascii="Times New Roman" w:eastAsia="標楷體" w:hAnsi="Times New Roman" w:cs="Times New Roman" w:hint="eastAsia"/>
          <w:color w:val="000000"/>
          <w:sz w:val="28"/>
          <w:szCs w:val="28"/>
        </w:rPr>
        <w:t>對於高價創新藥物，亦搭配藥品給付協議機制，並透過</w:t>
      </w:r>
      <w:r w:rsidRPr="00BB44F2">
        <w:rPr>
          <w:rFonts w:ascii="Times New Roman" w:eastAsia="標楷體" w:hAnsi="Times New Roman" w:cs="Times New Roman" w:hint="eastAsia"/>
          <w:color w:val="000000"/>
          <w:sz w:val="28"/>
          <w:szCs w:val="28"/>
        </w:rPr>
        <w:t>HTR</w:t>
      </w:r>
      <w:r w:rsidRPr="00BB44F2">
        <w:rPr>
          <w:rFonts w:ascii="Times New Roman" w:eastAsia="標楷體" w:hAnsi="Times New Roman" w:cs="Times New Roman" w:hint="eastAsia"/>
          <w:color w:val="000000"/>
          <w:sz w:val="28"/>
          <w:szCs w:val="28"/>
        </w:rPr>
        <w:t>制度，評估已收載藥品的療效、成本及市場價格，依最新科學證據進行價格調整或給付規定修訂，衡平早期可近性與健保資源永續。</w:t>
      </w:r>
    </w:p>
    <w:p w14:paraId="0DDEF0B5" w14:textId="0F269479" w:rsidR="008D3B75" w:rsidRPr="00BB44F2" w:rsidRDefault="00055F18" w:rsidP="00BB44F2">
      <w:pPr>
        <w:pStyle w:val="a3"/>
        <w:numPr>
          <w:ilvl w:val="0"/>
          <w:numId w:val="21"/>
        </w:numPr>
        <w:spacing w:line="440" w:lineRule="exact"/>
        <w:ind w:leftChars="0"/>
        <w:jc w:val="both"/>
        <w:rPr>
          <w:rFonts w:ascii="Times New Roman" w:eastAsia="標楷體" w:hAnsi="Times New Roman" w:cs="Times New Roman"/>
          <w:color w:val="000000"/>
          <w:sz w:val="28"/>
          <w:szCs w:val="28"/>
        </w:rPr>
      </w:pPr>
      <w:r w:rsidRPr="00BB44F2">
        <w:rPr>
          <w:rFonts w:ascii="Times New Roman" w:eastAsia="標楷體" w:hAnsi="Times New Roman" w:cs="Times New Roman" w:hint="eastAsia"/>
          <w:color w:val="000000"/>
          <w:sz w:val="28"/>
          <w:szCs w:val="28"/>
        </w:rPr>
        <w:lastRenderedPageBreak/>
        <w:t>本署將持續參考各國之藥品定價方法學，優化我國藥品核價制度，此外，</w:t>
      </w:r>
      <w:r w:rsidR="008D3B75" w:rsidRPr="00BB44F2">
        <w:rPr>
          <w:rFonts w:ascii="Times New Roman" w:eastAsia="標楷體" w:hAnsi="Times New Roman" w:cs="Times New Roman" w:hint="eastAsia"/>
          <w:color w:val="000000"/>
          <w:sz w:val="28"/>
          <w:szCs w:val="28"/>
        </w:rPr>
        <w:t>健保藥品收載策略</w:t>
      </w:r>
      <w:r w:rsidR="00C72401" w:rsidRPr="00BB44F2">
        <w:rPr>
          <w:rFonts w:ascii="Times New Roman" w:eastAsia="標楷體" w:hAnsi="Times New Roman" w:cs="Times New Roman" w:hint="eastAsia"/>
          <w:color w:val="000000"/>
          <w:sz w:val="28"/>
          <w:szCs w:val="28"/>
        </w:rPr>
        <w:t>除考量</w:t>
      </w:r>
      <w:r w:rsidR="008D3B75" w:rsidRPr="00BB44F2">
        <w:rPr>
          <w:rFonts w:ascii="Times New Roman" w:eastAsia="標楷體" w:hAnsi="Times New Roman" w:cs="Times New Roman" w:hint="eastAsia"/>
          <w:color w:val="000000"/>
          <w:sz w:val="28"/>
          <w:szCs w:val="28"/>
        </w:rPr>
        <w:t>療效與財務</w:t>
      </w:r>
      <w:r w:rsidR="00C72401" w:rsidRPr="00BB44F2">
        <w:rPr>
          <w:rFonts w:ascii="Times New Roman" w:eastAsia="標楷體" w:hAnsi="Times New Roman" w:cs="Times New Roman" w:hint="eastAsia"/>
          <w:color w:val="000000"/>
          <w:sz w:val="28"/>
          <w:szCs w:val="28"/>
        </w:rPr>
        <w:t>管控外</w:t>
      </w:r>
      <w:r w:rsidR="008D3B75" w:rsidRPr="00BB44F2">
        <w:rPr>
          <w:rFonts w:ascii="Times New Roman" w:eastAsia="標楷體" w:hAnsi="Times New Roman" w:cs="Times New Roman" w:hint="eastAsia"/>
          <w:color w:val="000000"/>
          <w:sz w:val="28"/>
          <w:szCs w:val="28"/>
        </w:rPr>
        <w:t>，</w:t>
      </w:r>
      <w:r w:rsidR="00C72401" w:rsidRPr="00BB44F2">
        <w:rPr>
          <w:rFonts w:ascii="Times New Roman" w:eastAsia="標楷體" w:hAnsi="Times New Roman" w:cs="Times New Roman" w:hint="eastAsia"/>
          <w:color w:val="000000"/>
          <w:sz w:val="28"/>
          <w:szCs w:val="28"/>
        </w:rPr>
        <w:t>將</w:t>
      </w:r>
      <w:r w:rsidR="008D3B75" w:rsidRPr="00BB44F2">
        <w:rPr>
          <w:rFonts w:ascii="Times New Roman" w:eastAsia="標楷體" w:hAnsi="Times New Roman" w:cs="Times New Roman" w:hint="eastAsia"/>
          <w:color w:val="000000"/>
          <w:sz w:val="28"/>
          <w:szCs w:val="28"/>
        </w:rPr>
        <w:t>逐步</w:t>
      </w:r>
      <w:r w:rsidR="00C72401" w:rsidRPr="00BB44F2">
        <w:rPr>
          <w:rFonts w:ascii="Times New Roman" w:eastAsia="標楷體" w:hAnsi="Times New Roman" w:cs="Times New Roman" w:hint="eastAsia"/>
          <w:color w:val="000000"/>
          <w:sz w:val="28"/>
          <w:szCs w:val="28"/>
        </w:rPr>
        <w:t>納入</w:t>
      </w:r>
      <w:r w:rsidR="008D3B75" w:rsidRPr="00BB44F2">
        <w:rPr>
          <w:rFonts w:ascii="Times New Roman" w:eastAsia="標楷體" w:hAnsi="Times New Roman" w:cs="Times New Roman" w:hint="eastAsia"/>
          <w:color w:val="000000"/>
          <w:sz w:val="28"/>
          <w:szCs w:val="28"/>
        </w:rPr>
        <w:t>醫療服務</w:t>
      </w:r>
      <w:r w:rsidR="00C72401" w:rsidRPr="00BB44F2">
        <w:rPr>
          <w:rFonts w:ascii="Times New Roman" w:eastAsia="標楷體" w:hAnsi="Times New Roman" w:cs="Times New Roman" w:hint="eastAsia"/>
          <w:color w:val="000000"/>
          <w:sz w:val="28"/>
          <w:szCs w:val="28"/>
        </w:rPr>
        <w:t>與</w:t>
      </w:r>
      <w:r w:rsidR="008D3B75" w:rsidRPr="00BB44F2">
        <w:rPr>
          <w:rFonts w:ascii="Times New Roman" w:eastAsia="標楷體" w:hAnsi="Times New Roman" w:cs="Times New Roman" w:hint="eastAsia"/>
          <w:color w:val="000000"/>
          <w:sz w:val="28"/>
          <w:szCs w:val="28"/>
        </w:rPr>
        <w:t>藥物供應韌性</w:t>
      </w:r>
      <w:r w:rsidR="00C72401" w:rsidRPr="00BB44F2">
        <w:rPr>
          <w:rFonts w:ascii="Times New Roman" w:eastAsia="標楷體" w:hAnsi="Times New Roman" w:cs="Times New Roman" w:hint="eastAsia"/>
          <w:color w:val="000000"/>
          <w:sz w:val="28"/>
          <w:szCs w:val="28"/>
        </w:rPr>
        <w:t>之</w:t>
      </w:r>
      <w:r w:rsidR="008D3B75" w:rsidRPr="00BB44F2">
        <w:rPr>
          <w:rFonts w:ascii="Times New Roman" w:eastAsia="標楷體" w:hAnsi="Times New Roman" w:cs="Times New Roman" w:hint="eastAsia"/>
          <w:color w:val="000000"/>
          <w:sz w:val="28"/>
          <w:szCs w:val="28"/>
        </w:rPr>
        <w:t>考量。</w:t>
      </w:r>
    </w:p>
    <w:p w14:paraId="450B203C" w14:textId="72B6F7AA" w:rsidR="00AD5A25" w:rsidRPr="00BB44F2" w:rsidRDefault="00AD5A25" w:rsidP="00BB44F2">
      <w:pPr>
        <w:pStyle w:val="a3"/>
        <w:numPr>
          <w:ilvl w:val="0"/>
          <w:numId w:val="21"/>
        </w:numPr>
        <w:spacing w:line="440" w:lineRule="exact"/>
        <w:ind w:leftChars="0"/>
        <w:jc w:val="both"/>
        <w:rPr>
          <w:rFonts w:ascii="Times New Roman" w:eastAsia="標楷體" w:hAnsi="Times New Roman" w:cs="Times New Roman"/>
          <w:color w:val="000000"/>
          <w:sz w:val="28"/>
          <w:szCs w:val="28"/>
        </w:rPr>
      </w:pPr>
      <w:r w:rsidRPr="00BB44F2">
        <w:rPr>
          <w:rFonts w:ascii="Times New Roman" w:eastAsia="標楷體" w:hAnsi="Times New Roman" w:cs="Times New Roman" w:hint="eastAsia"/>
          <w:color w:val="000000"/>
          <w:sz w:val="28"/>
          <w:szCs w:val="28"/>
        </w:rPr>
        <w:t>導入「新藥部分負擔」制度</w:t>
      </w:r>
      <w:r w:rsidR="00AF6FE6" w:rsidRPr="00BB44F2">
        <w:rPr>
          <w:rFonts w:ascii="Times New Roman" w:eastAsia="標楷體" w:hAnsi="Times New Roman" w:cs="Times New Roman" w:hint="eastAsia"/>
          <w:color w:val="000000"/>
          <w:sz w:val="28"/>
          <w:szCs w:val="28"/>
        </w:rPr>
        <w:t>：適度的部分負擔，確有機會在不大幅增加健保財務壓力下，提高新藥的可近性，然仍需考慮對弱勢族群影響，確保整體公平性與治療可及性。鑑於其涉及層面廣，涵蓋多方利害關人，宜</w:t>
      </w:r>
      <w:r w:rsidR="00AB6796" w:rsidRPr="00BB44F2">
        <w:rPr>
          <w:rFonts w:ascii="Times New Roman" w:eastAsia="標楷體" w:hAnsi="Times New Roman" w:cs="Times New Roman" w:hint="eastAsia"/>
          <w:color w:val="000000"/>
          <w:sz w:val="28"/>
          <w:szCs w:val="28"/>
        </w:rPr>
        <w:t>多方討論與</w:t>
      </w:r>
      <w:r w:rsidRPr="00BB44F2">
        <w:rPr>
          <w:rFonts w:ascii="Times New Roman" w:eastAsia="標楷體" w:hAnsi="Times New Roman" w:cs="Times New Roman" w:hint="eastAsia"/>
          <w:color w:val="000000"/>
          <w:sz w:val="28"/>
          <w:szCs w:val="28"/>
        </w:rPr>
        <w:t>審慎評估。</w:t>
      </w:r>
      <w:r w:rsidR="00E51C75">
        <w:rPr>
          <w:rFonts w:ascii="Times New Roman" w:eastAsia="標楷體" w:hAnsi="Times New Roman" w:cs="Times New Roman" w:hint="eastAsia"/>
          <w:color w:val="000000"/>
          <w:sz w:val="28"/>
          <w:szCs w:val="28"/>
        </w:rPr>
        <w:t>本</w:t>
      </w:r>
      <w:r w:rsidR="00B56C46" w:rsidRPr="00BB44F2">
        <w:rPr>
          <w:rFonts w:ascii="Times New Roman" w:eastAsia="標楷體" w:hAnsi="Times New Roman" w:cs="Times New Roman" w:hint="eastAsia"/>
          <w:color w:val="000000"/>
          <w:sz w:val="28"/>
          <w:szCs w:val="28"/>
        </w:rPr>
        <w:t>署</w:t>
      </w:r>
      <w:r w:rsidR="00E51C75">
        <w:rPr>
          <w:rFonts w:ascii="Times New Roman" w:eastAsia="標楷體" w:hAnsi="Times New Roman" w:cs="Times New Roman" w:hint="eastAsia"/>
          <w:color w:val="000000"/>
          <w:sz w:val="28"/>
          <w:szCs w:val="28"/>
        </w:rPr>
        <w:t>則透過</w:t>
      </w:r>
      <w:r w:rsidR="00B56C46" w:rsidRPr="00BB44F2">
        <w:rPr>
          <w:rFonts w:ascii="Times New Roman" w:eastAsia="標楷體" w:hAnsi="Times New Roman" w:cs="Times New Roman" w:hint="eastAsia"/>
          <w:color w:val="000000"/>
          <w:sz w:val="28"/>
          <w:szCs w:val="28"/>
        </w:rPr>
        <w:t>設立平行送審、暫時性支付等制度，</w:t>
      </w:r>
      <w:r w:rsidR="00B56C46" w:rsidRPr="00BB44F2">
        <w:rPr>
          <w:rFonts w:ascii="Times New Roman" w:eastAsia="標楷體" w:hAnsi="Times New Roman" w:cs="Times New Roman" w:hint="eastAsia"/>
          <w:sz w:val="28"/>
          <w:szCs w:val="28"/>
        </w:rPr>
        <w:t>讓具有治療潛力之新藥、癌藥可以加速引進，或用給付協議機制讓藥廠與健保署共同分攤財務風險，讓新藥有更多機會可以納入健保。</w:t>
      </w:r>
    </w:p>
    <w:p w14:paraId="5AC97319" w14:textId="1FF9FBB9" w:rsidR="00042880" w:rsidRPr="00BB44F2" w:rsidRDefault="00042880" w:rsidP="00BB44F2">
      <w:pPr>
        <w:pStyle w:val="a3"/>
        <w:numPr>
          <w:ilvl w:val="0"/>
          <w:numId w:val="21"/>
        </w:numPr>
        <w:spacing w:line="440" w:lineRule="exact"/>
        <w:ind w:leftChars="0"/>
        <w:rPr>
          <w:rFonts w:ascii="Times New Roman" w:eastAsia="標楷體" w:hAnsi="Times New Roman" w:cs="Times New Roman"/>
          <w:color w:val="000000"/>
          <w:sz w:val="28"/>
          <w:szCs w:val="28"/>
        </w:rPr>
      </w:pPr>
      <w:r w:rsidRPr="00BB44F2">
        <w:rPr>
          <w:rFonts w:ascii="Times New Roman" w:eastAsia="標楷體" w:hAnsi="Times New Roman" w:cs="Times New Roman" w:hint="eastAsia"/>
          <w:color w:val="000000"/>
          <w:sz w:val="28"/>
          <w:szCs w:val="28"/>
        </w:rPr>
        <w:t>藥價的訂定與調整與藥品市場變動息息相關，健保藥價的訂定與調整方式經過多年來的發展與改革，發展出現在的作業模式，健保署未來將持續本於作為健保保險人的職責，持續檢討藥價訂定與調整方式，以期給予合理藥價，並保障民眾的用藥權益。</w:t>
      </w:r>
    </w:p>
    <w:p w14:paraId="764DCAF2" w14:textId="588C5BB9" w:rsidR="00443193" w:rsidRPr="00180B50" w:rsidRDefault="00766A9C" w:rsidP="00180B50">
      <w:pPr>
        <w:spacing w:line="440" w:lineRule="exact"/>
        <w:jc w:val="both"/>
        <w:rPr>
          <w:rFonts w:ascii="Times New Roman" w:eastAsia="標楷體" w:hAnsi="Times New Roman" w:cs="Times New Roman"/>
          <w:color w:val="000000"/>
          <w:sz w:val="28"/>
          <w:szCs w:val="28"/>
        </w:rPr>
      </w:pPr>
      <w:r>
        <w:rPr>
          <w:rFonts w:ascii="Times New Roman" w:eastAsia="標楷體" w:hAnsi="Times New Roman" w:cs="Times New Roman" w:hint="eastAsia"/>
          <w:color w:val="000000"/>
          <w:sz w:val="28"/>
          <w:szCs w:val="28"/>
          <w:shd w:val="pct15" w:color="auto" w:fill="FFFFFF"/>
        </w:rPr>
        <w:t>本署</w:t>
      </w:r>
      <w:r w:rsidRPr="00766A9C">
        <w:rPr>
          <w:rFonts w:ascii="Times New Roman" w:eastAsia="標楷體" w:hAnsi="Times New Roman" w:cs="Times New Roman" w:hint="eastAsia"/>
          <w:color w:val="000000"/>
          <w:sz w:val="28"/>
          <w:szCs w:val="28"/>
          <w:shd w:val="pct15" w:color="auto" w:fill="FFFFFF"/>
        </w:rPr>
        <w:t>說明：</w:t>
      </w:r>
      <w:r w:rsidR="00180B50" w:rsidRPr="00180B50">
        <w:rPr>
          <w:rFonts w:ascii="Times New Roman" w:eastAsia="標楷體" w:hAnsi="Times New Roman" w:cs="Times New Roman"/>
          <w:noProof/>
          <w:sz w:val="28"/>
          <w:szCs w:val="28"/>
        </w:rPr>
        <mc:AlternateContent>
          <mc:Choice Requires="wps">
            <w:drawing>
              <wp:anchor distT="45720" distB="45720" distL="114300" distR="114300" simplePos="0" relativeHeight="251663360" behindDoc="0" locked="0" layoutInCell="1" allowOverlap="1" wp14:anchorId="2D8440AF" wp14:editId="45B23571">
                <wp:simplePos x="0" y="0"/>
                <wp:positionH relativeFrom="margin">
                  <wp:posOffset>0</wp:posOffset>
                </wp:positionH>
                <wp:positionV relativeFrom="paragraph">
                  <wp:posOffset>321945</wp:posOffset>
                </wp:positionV>
                <wp:extent cx="5734050" cy="1404620"/>
                <wp:effectExtent l="0" t="0" r="19050" b="1397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1DB4EA55" w14:textId="4523EFC0"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hint="eastAsia"/>
                                <w:color w:val="000000"/>
                                <w:sz w:val="28"/>
                                <w:szCs w:val="28"/>
                              </w:rPr>
                              <w:t>邁向專業化與高效率審查</w:t>
                            </w:r>
                            <w:r w:rsidR="007C4A7F" w:rsidRPr="00180B50">
                              <w:rPr>
                                <w:rFonts w:ascii="Times New Roman" w:eastAsia="標楷體" w:hAnsi="Times New Roman" w:cs="Times New Roman"/>
                                <w:color w:val="000000"/>
                                <w:sz w:val="28"/>
                                <w:szCs w:val="28"/>
                              </w:rPr>
                              <w:t>——</w:t>
                            </w:r>
                            <w:r w:rsidRPr="00180B50">
                              <w:rPr>
                                <w:rFonts w:ascii="Times New Roman" w:eastAsia="標楷體" w:hAnsi="Times New Roman" w:cs="Times New Roman" w:hint="eastAsia"/>
                                <w:color w:val="000000"/>
                                <w:sz w:val="28"/>
                                <w:szCs w:val="28"/>
                              </w:rPr>
                              <w:t>如何效法先進國家，落實「</w:t>
                            </w:r>
                            <w:r w:rsidRPr="00180B50">
                              <w:rPr>
                                <w:rFonts w:ascii="Times New Roman" w:eastAsia="標楷體" w:hAnsi="Times New Roman" w:cs="Times New Roman" w:hint="eastAsia"/>
                                <w:color w:val="000000"/>
                                <w:sz w:val="28"/>
                                <w:szCs w:val="28"/>
                              </w:rPr>
                              <w:t>HTA</w:t>
                            </w:r>
                            <w:r w:rsidRPr="00180B50">
                              <w:rPr>
                                <w:rFonts w:ascii="Times New Roman" w:eastAsia="標楷體" w:hAnsi="Times New Roman" w:cs="Times New Roman" w:hint="eastAsia"/>
                                <w:color w:val="000000"/>
                                <w:sz w:val="28"/>
                                <w:szCs w:val="28"/>
                              </w:rPr>
                              <w:t>評估」與「給付協商」的專業分工，以強化審查效能，加速病友用藥？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8440AF" id="_x0000_s1028" type="#_x0000_t202" style="position:absolute;left:0;text-align:left;margin-left:0;margin-top:25.35pt;width:451.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">
                <v:textbox style="mso-fit-shape-to-text:t">
                  <w:txbxContent>
                    <w:p w14:paraId="1DB4EA55" w14:textId="4523EFC0"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hint="eastAsia"/>
                          <w:color w:val="000000"/>
                          <w:sz w:val="28"/>
                          <w:szCs w:val="28"/>
                        </w:rPr>
                        <w:t>邁向專業化與高效率審查</w:t>
                      </w:r>
                      <w:r w:rsidR="007C4A7F" w:rsidRPr="00180B50">
                        <w:rPr>
                          <w:rFonts w:ascii="Times New Roman" w:eastAsia="標楷體" w:hAnsi="Times New Roman" w:cs="Times New Roman"/>
                          <w:color w:val="000000"/>
                          <w:sz w:val="28"/>
                          <w:szCs w:val="28"/>
                        </w:rPr>
                        <w:t>——</w:t>
                      </w:r>
                      <w:r w:rsidRPr="00180B50">
                        <w:rPr>
                          <w:rFonts w:ascii="Times New Roman" w:eastAsia="標楷體" w:hAnsi="Times New Roman" w:cs="Times New Roman" w:hint="eastAsia"/>
                          <w:color w:val="000000"/>
                          <w:sz w:val="28"/>
                          <w:szCs w:val="28"/>
                        </w:rPr>
                        <w:t>如何效法先進國家，落實「</w:t>
                      </w:r>
                      <w:r w:rsidRPr="00180B50">
                        <w:rPr>
                          <w:rFonts w:ascii="Times New Roman" w:eastAsia="標楷體" w:hAnsi="Times New Roman" w:cs="Times New Roman" w:hint="eastAsia"/>
                          <w:color w:val="000000"/>
                          <w:sz w:val="28"/>
                          <w:szCs w:val="28"/>
                        </w:rPr>
                        <w:t>HTA</w:t>
                      </w:r>
                      <w:r w:rsidRPr="00180B50">
                        <w:rPr>
                          <w:rFonts w:ascii="Times New Roman" w:eastAsia="標楷體" w:hAnsi="Times New Roman" w:cs="Times New Roman" w:hint="eastAsia"/>
                          <w:color w:val="000000"/>
                          <w:sz w:val="28"/>
                          <w:szCs w:val="28"/>
                        </w:rPr>
                        <w:t>評估」與「給付協商」的專業分工，以強化審查效能，加速病友用藥？</w:t>
                      </w:r>
                    </w:p>
                  </w:txbxContent>
                </v:textbox>
                <w10:wrap type="square" anchorx="margin"/>
              </v:shape>
            </w:pict>
          </mc:Fallback>
        </mc:AlternateContent>
      </w:r>
    </w:p>
    <w:p w14:paraId="5F2DFE13" w14:textId="1DA4158D" w:rsidR="00426BF3" w:rsidRPr="00426BF3" w:rsidRDefault="00426BF3" w:rsidP="0092449C">
      <w:pPr>
        <w:spacing w:line="440" w:lineRule="exact"/>
        <w:jc w:val="both"/>
        <w:rPr>
          <w:rFonts w:ascii="Times New Roman" w:eastAsia="標楷體" w:hAnsi="Times New Roman" w:cs="Times New Roman"/>
          <w:b/>
          <w:bCs/>
          <w:color w:val="000000"/>
          <w:sz w:val="28"/>
          <w:szCs w:val="28"/>
        </w:rPr>
      </w:pPr>
      <w:r w:rsidRPr="00426BF3">
        <w:rPr>
          <w:rFonts w:ascii="Times New Roman" w:eastAsia="標楷體" w:hAnsi="Times New Roman" w:cs="Times New Roman" w:hint="eastAsia"/>
          <w:b/>
          <w:bCs/>
          <w:color w:val="000000"/>
          <w:sz w:val="28"/>
          <w:szCs w:val="28"/>
        </w:rPr>
        <w:t>成立</w:t>
      </w:r>
      <w:r w:rsidRPr="00426BF3">
        <w:rPr>
          <w:rFonts w:ascii="Times New Roman" w:eastAsia="標楷體" w:hAnsi="Times New Roman" w:cs="Times New Roman"/>
          <w:b/>
          <w:bCs/>
          <w:color w:val="000000"/>
          <w:sz w:val="28"/>
          <w:szCs w:val="28"/>
        </w:rPr>
        <w:t>行政法人「</w:t>
      </w:r>
      <w:r w:rsidRPr="00426BF3">
        <w:rPr>
          <w:rFonts w:ascii="Times New Roman" w:eastAsia="標楷體" w:hAnsi="Times New Roman" w:cs="Times New Roman" w:hint="eastAsia"/>
          <w:b/>
          <w:bCs/>
          <w:color w:val="000000"/>
          <w:sz w:val="28"/>
          <w:szCs w:val="28"/>
        </w:rPr>
        <w:t>國家醫療科技評估中心</w:t>
      </w:r>
      <w:r w:rsidRPr="00426BF3">
        <w:rPr>
          <w:rFonts w:ascii="Times New Roman" w:eastAsia="標楷體" w:hAnsi="Times New Roman" w:cs="Times New Roman"/>
          <w:b/>
          <w:bCs/>
          <w:color w:val="000000"/>
          <w:sz w:val="28"/>
          <w:szCs w:val="28"/>
        </w:rPr>
        <w:t>」</w:t>
      </w:r>
      <w:r>
        <w:rPr>
          <w:rFonts w:ascii="Times New Roman" w:eastAsia="標楷體" w:hAnsi="Times New Roman" w:cs="Times New Roman" w:hint="eastAsia"/>
          <w:b/>
          <w:bCs/>
          <w:color w:val="000000"/>
          <w:sz w:val="28"/>
          <w:szCs w:val="28"/>
        </w:rPr>
        <w:t>，</w:t>
      </w:r>
      <w:r w:rsidR="00492007">
        <w:rPr>
          <w:rFonts w:ascii="Times New Roman" w:eastAsia="標楷體" w:hAnsi="Times New Roman" w:cs="Times New Roman" w:hint="eastAsia"/>
          <w:b/>
          <w:bCs/>
          <w:color w:val="000000"/>
          <w:sz w:val="28"/>
          <w:szCs w:val="28"/>
        </w:rPr>
        <w:t>透過</w:t>
      </w:r>
      <w:r w:rsidR="00492007">
        <w:rPr>
          <w:rFonts w:ascii="Times New Roman" w:eastAsia="標楷體" w:hAnsi="Times New Roman" w:cs="Times New Roman" w:hint="eastAsia"/>
          <w:b/>
          <w:bCs/>
          <w:color w:val="000000"/>
          <w:sz w:val="28"/>
          <w:szCs w:val="28"/>
        </w:rPr>
        <w:t>HTA</w:t>
      </w:r>
      <w:r w:rsidR="00492007">
        <w:rPr>
          <w:rFonts w:ascii="Times New Roman" w:eastAsia="標楷體" w:hAnsi="Times New Roman" w:cs="Times New Roman" w:hint="eastAsia"/>
          <w:b/>
          <w:bCs/>
          <w:color w:val="000000"/>
          <w:sz w:val="28"/>
          <w:szCs w:val="28"/>
        </w:rPr>
        <w:t>決策支援之專業評估角色</w:t>
      </w:r>
      <w:r w:rsidR="00492007" w:rsidRPr="00492007">
        <w:rPr>
          <w:rFonts w:ascii="Times New Roman" w:eastAsia="標楷體" w:hAnsi="Times New Roman" w:cs="Times New Roman" w:hint="eastAsia"/>
          <w:b/>
          <w:bCs/>
          <w:color w:val="000000"/>
          <w:sz w:val="28"/>
          <w:szCs w:val="28"/>
        </w:rPr>
        <w:t>，</w:t>
      </w:r>
      <w:r w:rsidR="00492007">
        <w:rPr>
          <w:rFonts w:ascii="Times New Roman" w:eastAsia="標楷體" w:hAnsi="Times New Roman" w:cs="Times New Roman" w:hint="eastAsia"/>
          <w:b/>
          <w:bCs/>
          <w:color w:val="000000"/>
          <w:sz w:val="28"/>
          <w:szCs w:val="28"/>
        </w:rPr>
        <w:t>與健保署決策職能進行分工合作，</w:t>
      </w:r>
      <w:r w:rsidR="00492007" w:rsidRPr="00492007">
        <w:rPr>
          <w:rFonts w:ascii="Times New Roman" w:eastAsia="標楷體" w:hAnsi="Times New Roman" w:cs="Times New Roman" w:hint="eastAsia"/>
          <w:b/>
          <w:bCs/>
          <w:color w:val="000000"/>
          <w:sz w:val="28"/>
          <w:szCs w:val="28"/>
        </w:rPr>
        <w:t>強化健保資源分配與議價決策效率</w:t>
      </w:r>
      <w:r w:rsidR="00492007">
        <w:rPr>
          <w:rFonts w:ascii="Times New Roman" w:eastAsia="標楷體" w:hAnsi="Times New Roman" w:cs="Times New Roman" w:hint="eastAsia"/>
          <w:b/>
          <w:bCs/>
          <w:color w:val="000000"/>
          <w:sz w:val="28"/>
          <w:szCs w:val="28"/>
        </w:rPr>
        <w:t>。</w:t>
      </w:r>
    </w:p>
    <w:p w14:paraId="48C37D80" w14:textId="28FCA49E" w:rsidR="0076614D" w:rsidRPr="0092449C" w:rsidRDefault="0076614D" w:rsidP="0092449C">
      <w:pPr>
        <w:pStyle w:val="a3"/>
        <w:numPr>
          <w:ilvl w:val="0"/>
          <w:numId w:val="19"/>
        </w:numPr>
        <w:spacing w:line="440" w:lineRule="exact"/>
        <w:ind w:leftChars="0"/>
        <w:jc w:val="both"/>
        <w:rPr>
          <w:rFonts w:ascii="Times New Roman" w:eastAsia="標楷體" w:hAnsi="Times New Roman" w:cs="Times New Roman"/>
          <w:color w:val="000000"/>
          <w:sz w:val="28"/>
          <w:szCs w:val="28"/>
        </w:rPr>
      </w:pPr>
      <w:r w:rsidRPr="0092449C">
        <w:rPr>
          <w:rFonts w:ascii="Times New Roman" w:eastAsia="標楷體" w:hAnsi="Times New Roman" w:cs="Times New Roman" w:hint="eastAsia"/>
          <w:color w:val="000000"/>
          <w:sz w:val="28"/>
          <w:szCs w:val="28"/>
        </w:rPr>
        <w:t>為協助健保資源分配，我國於民國</w:t>
      </w:r>
      <w:r w:rsidRPr="0092449C">
        <w:rPr>
          <w:rFonts w:ascii="Times New Roman" w:eastAsia="標楷體" w:hAnsi="Times New Roman" w:cs="Times New Roman" w:hint="eastAsia"/>
          <w:color w:val="000000"/>
          <w:sz w:val="28"/>
          <w:szCs w:val="28"/>
        </w:rPr>
        <w:t>97</w:t>
      </w:r>
      <w:r w:rsidRPr="0092449C">
        <w:rPr>
          <w:rFonts w:ascii="Times New Roman" w:eastAsia="標楷體" w:hAnsi="Times New Roman" w:cs="Times New Roman" w:hint="eastAsia"/>
          <w:color w:val="000000"/>
          <w:sz w:val="28"/>
          <w:szCs w:val="28"/>
        </w:rPr>
        <w:t>年導入醫療科技評估運用於健保新藥給付，</w:t>
      </w:r>
      <w:r w:rsidR="00492007" w:rsidRPr="0092449C">
        <w:rPr>
          <w:rFonts w:ascii="Times New Roman" w:eastAsia="標楷體" w:hAnsi="Times New Roman" w:cs="Times New Roman" w:hint="eastAsia"/>
          <w:color w:val="000000"/>
          <w:sz w:val="28"/>
          <w:szCs w:val="28"/>
        </w:rPr>
        <w:t>考量</w:t>
      </w:r>
      <w:r w:rsidRPr="0092449C">
        <w:rPr>
          <w:rFonts w:ascii="Times New Roman" w:eastAsia="標楷體" w:hAnsi="Times New Roman" w:cs="Times New Roman" w:hint="eastAsia"/>
          <w:color w:val="000000"/>
          <w:sz w:val="28"/>
          <w:szCs w:val="28"/>
        </w:rPr>
        <w:t>醫療科技評估涉及臨床醫學、藥物經濟學與統計分析等高度跨領域專業整合，基於專業、中立與行政彈性考量，爰成立之初決定於</w:t>
      </w:r>
      <w:r w:rsidRPr="0092449C">
        <w:rPr>
          <w:rFonts w:ascii="Times New Roman" w:eastAsia="標楷體" w:hAnsi="Times New Roman" w:cs="Times New Roman" w:hint="eastAsia"/>
          <w:color w:val="000000"/>
          <w:sz w:val="28"/>
          <w:szCs w:val="28"/>
        </w:rPr>
        <w:t>CDE</w:t>
      </w:r>
      <w:r w:rsidRPr="0092449C">
        <w:rPr>
          <w:rFonts w:ascii="Times New Roman" w:eastAsia="標楷體" w:hAnsi="Times New Roman" w:cs="Times New Roman" w:hint="eastAsia"/>
          <w:color w:val="000000"/>
          <w:sz w:val="28"/>
          <w:szCs w:val="28"/>
        </w:rPr>
        <w:t>之下設立專責</w:t>
      </w:r>
      <w:r w:rsidR="00426BF3" w:rsidRPr="0092449C">
        <w:rPr>
          <w:rFonts w:ascii="Times New Roman" w:eastAsia="標楷體" w:hAnsi="Times New Roman" w:cs="Times New Roman" w:hint="eastAsia"/>
          <w:color w:val="000000"/>
          <w:sz w:val="28"/>
          <w:szCs w:val="28"/>
        </w:rPr>
        <w:t>小組。</w:t>
      </w:r>
    </w:p>
    <w:p w14:paraId="34B6B99E" w14:textId="2BC792D9" w:rsidR="0076614D" w:rsidRPr="0092449C" w:rsidRDefault="0092449C" w:rsidP="0092449C">
      <w:pPr>
        <w:pStyle w:val="a3"/>
        <w:numPr>
          <w:ilvl w:val="0"/>
          <w:numId w:val="19"/>
        </w:numPr>
        <w:spacing w:line="440" w:lineRule="exact"/>
        <w:ind w:leftChars="0"/>
        <w:jc w:val="both"/>
        <w:rPr>
          <w:rFonts w:ascii="Times New Roman" w:eastAsia="標楷體" w:hAnsi="Times New Roman" w:cs="Times New Roman"/>
          <w:color w:val="000000"/>
          <w:sz w:val="28"/>
          <w:szCs w:val="28"/>
        </w:rPr>
      </w:pPr>
      <w:r w:rsidRPr="0092449C">
        <w:rPr>
          <w:rFonts w:ascii="Times New Roman" w:eastAsia="標楷體" w:hAnsi="Times New Roman" w:cs="Times New Roman" w:hint="eastAsia"/>
          <w:sz w:val="28"/>
          <w:szCs w:val="28"/>
        </w:rPr>
        <w:t>然因</w:t>
      </w:r>
      <w:r w:rsidRPr="0092449C">
        <w:rPr>
          <w:rFonts w:ascii="Times New Roman" w:eastAsia="標楷體" w:hAnsi="Times New Roman" w:cs="Times New Roman" w:hint="eastAsia"/>
          <w:sz w:val="28"/>
          <w:szCs w:val="28"/>
        </w:rPr>
        <w:t>HTA</w:t>
      </w:r>
      <w:r w:rsidRPr="0092449C">
        <w:rPr>
          <w:rFonts w:ascii="Times New Roman" w:eastAsia="標楷體" w:hAnsi="Times New Roman" w:cs="Times New Roman" w:hint="eastAsia"/>
          <w:sz w:val="28"/>
          <w:szCs w:val="28"/>
        </w:rPr>
        <w:t>涉及醫療科技價值評估，且關係到健保核價與衛生福利資源之分配，以「行政法人」此獨立第三方型態進行</w:t>
      </w:r>
      <w:r w:rsidRPr="0092449C">
        <w:rPr>
          <w:rFonts w:ascii="Times New Roman" w:eastAsia="標楷體" w:hAnsi="Times New Roman" w:cs="Times New Roman" w:hint="eastAsia"/>
          <w:sz w:val="28"/>
          <w:szCs w:val="28"/>
        </w:rPr>
        <w:t>HTA</w:t>
      </w:r>
      <w:r w:rsidRPr="0092449C">
        <w:rPr>
          <w:rFonts w:ascii="Times New Roman" w:eastAsia="標楷體" w:hAnsi="Times New Roman" w:cs="Times New Roman" w:hint="eastAsia"/>
          <w:sz w:val="28"/>
          <w:szCs w:val="28"/>
        </w:rPr>
        <w:t>，可兼具專業自主與政府監督，</w:t>
      </w:r>
      <w:r w:rsidR="00426BF3" w:rsidRPr="0092449C">
        <w:rPr>
          <w:rFonts w:ascii="Times New Roman" w:eastAsia="標楷體" w:hAnsi="Times New Roman" w:cs="Times New Roman" w:hint="eastAsia"/>
          <w:color w:val="000000"/>
          <w:sz w:val="28"/>
          <w:szCs w:val="28"/>
        </w:rPr>
        <w:t>本署借鏡英國</w:t>
      </w:r>
      <w:r w:rsidR="00426BF3" w:rsidRPr="0092449C">
        <w:rPr>
          <w:rFonts w:ascii="Times New Roman" w:eastAsia="標楷體" w:hAnsi="Times New Roman" w:cs="Times New Roman" w:hint="eastAsia"/>
          <w:color w:val="000000"/>
          <w:sz w:val="28"/>
          <w:szCs w:val="28"/>
        </w:rPr>
        <w:t>NICE</w:t>
      </w:r>
      <w:r w:rsidR="00426BF3" w:rsidRPr="0092449C">
        <w:rPr>
          <w:rFonts w:ascii="Times New Roman" w:eastAsia="標楷體" w:hAnsi="Times New Roman" w:cs="Times New Roman" w:hint="eastAsia"/>
          <w:color w:val="000000"/>
          <w:sz w:val="28"/>
          <w:szCs w:val="28"/>
        </w:rPr>
        <w:t>經驗，</w:t>
      </w:r>
      <w:r w:rsidR="0076614D" w:rsidRPr="0092449C">
        <w:rPr>
          <w:rFonts w:ascii="Times New Roman" w:eastAsia="標楷體" w:hAnsi="Times New Roman" w:cs="Times New Roman" w:hint="eastAsia"/>
          <w:color w:val="000000"/>
          <w:sz w:val="28"/>
          <w:szCs w:val="28"/>
        </w:rPr>
        <w:t>自</w:t>
      </w:r>
      <w:r w:rsidR="0076614D" w:rsidRPr="0092449C">
        <w:rPr>
          <w:rFonts w:ascii="Times New Roman" w:eastAsia="標楷體" w:hAnsi="Times New Roman" w:cs="Times New Roman" w:hint="eastAsia"/>
          <w:color w:val="000000"/>
          <w:sz w:val="28"/>
          <w:szCs w:val="28"/>
        </w:rPr>
        <w:t>113</w:t>
      </w:r>
      <w:r w:rsidR="0076614D" w:rsidRPr="0092449C">
        <w:rPr>
          <w:rFonts w:ascii="Times New Roman" w:eastAsia="標楷體" w:hAnsi="Times New Roman" w:cs="Times New Roman" w:hint="eastAsia"/>
          <w:color w:val="000000"/>
          <w:sz w:val="28"/>
          <w:szCs w:val="28"/>
        </w:rPr>
        <w:t>起先行</w:t>
      </w:r>
      <w:r w:rsidR="00426BF3" w:rsidRPr="0092449C">
        <w:rPr>
          <w:rFonts w:ascii="Times New Roman" w:eastAsia="標楷體" w:hAnsi="Times New Roman" w:cs="Times New Roman" w:hint="eastAsia"/>
          <w:color w:val="000000"/>
          <w:sz w:val="28"/>
          <w:szCs w:val="28"/>
        </w:rPr>
        <w:t>設立</w:t>
      </w:r>
      <w:r w:rsidR="0076614D" w:rsidRPr="0092449C">
        <w:rPr>
          <w:rFonts w:ascii="Shruti" w:eastAsia="標楷體" w:hAnsi="Shruti" w:cs="Shruti"/>
          <w:color w:val="000000"/>
          <w:sz w:val="28"/>
          <w:szCs w:val="28"/>
        </w:rPr>
        <w:t>「</w:t>
      </w:r>
      <w:r w:rsidR="0076614D" w:rsidRPr="0092449C">
        <w:rPr>
          <w:rFonts w:ascii="Times New Roman" w:eastAsia="標楷體" w:hAnsi="Times New Roman" w:cs="Times New Roman" w:hint="eastAsia"/>
          <w:color w:val="000000"/>
          <w:sz w:val="28"/>
          <w:szCs w:val="28"/>
        </w:rPr>
        <w:t>健康政策與醫療科技評估</w:t>
      </w:r>
      <w:r w:rsidR="0076614D" w:rsidRPr="0092449C">
        <w:rPr>
          <w:rFonts w:ascii="Times New Roman" w:eastAsia="標楷體" w:hAnsi="Times New Roman" w:cs="Times New Roman" w:hint="eastAsia"/>
          <w:color w:val="000000"/>
          <w:sz w:val="28"/>
          <w:szCs w:val="28"/>
        </w:rPr>
        <w:t>(CHPTA)</w:t>
      </w:r>
      <w:r w:rsidR="0076614D" w:rsidRPr="0092449C">
        <w:rPr>
          <w:rFonts w:ascii="Times New Roman" w:eastAsia="標楷體" w:hAnsi="Times New Roman" w:cs="Times New Roman" w:hint="eastAsia"/>
          <w:color w:val="000000"/>
          <w:sz w:val="28"/>
          <w:szCs w:val="28"/>
        </w:rPr>
        <w:t>專責辦公室</w:t>
      </w:r>
      <w:r w:rsidR="00426BF3" w:rsidRPr="0092449C">
        <w:rPr>
          <w:rFonts w:ascii="Shruti" w:eastAsia="標楷體" w:hAnsi="Shruti" w:cs="Shruti"/>
          <w:color w:val="000000"/>
          <w:sz w:val="28"/>
          <w:szCs w:val="28"/>
        </w:rPr>
        <w:t>」</w:t>
      </w:r>
      <w:r w:rsidR="0076614D" w:rsidRPr="0092449C">
        <w:rPr>
          <w:rFonts w:ascii="Times New Roman" w:eastAsia="標楷體" w:hAnsi="Times New Roman" w:cs="Times New Roman" w:hint="eastAsia"/>
          <w:color w:val="000000"/>
          <w:sz w:val="28"/>
          <w:szCs w:val="28"/>
        </w:rPr>
        <w:t>，並刻正</w:t>
      </w:r>
      <w:r w:rsidR="00B86F41" w:rsidRPr="0092449C">
        <w:rPr>
          <w:rFonts w:ascii="Times New Roman" w:eastAsia="標楷體" w:hAnsi="Times New Roman" w:cs="Times New Roman" w:hint="eastAsia"/>
          <w:color w:val="000000"/>
          <w:sz w:val="28"/>
          <w:szCs w:val="28"/>
        </w:rPr>
        <w:t>籌設</w:t>
      </w:r>
      <w:r w:rsidR="00426BF3" w:rsidRPr="0092449C">
        <w:rPr>
          <w:rFonts w:ascii="Times New Roman" w:eastAsia="標楷體" w:hAnsi="Times New Roman" w:cs="Times New Roman"/>
          <w:color w:val="000000"/>
          <w:sz w:val="28"/>
          <w:szCs w:val="28"/>
        </w:rPr>
        <w:t>行政法人</w:t>
      </w:r>
      <w:r w:rsidR="0076614D" w:rsidRPr="0092449C">
        <w:rPr>
          <w:rFonts w:ascii="Times New Roman" w:eastAsia="標楷體" w:hAnsi="Times New Roman" w:cs="Times New Roman"/>
          <w:color w:val="000000"/>
          <w:sz w:val="28"/>
          <w:szCs w:val="28"/>
        </w:rPr>
        <w:t>「</w:t>
      </w:r>
      <w:r w:rsidR="00426BF3" w:rsidRPr="0092449C">
        <w:rPr>
          <w:rFonts w:ascii="Times New Roman" w:eastAsia="標楷體" w:hAnsi="Times New Roman" w:cs="Times New Roman" w:hint="eastAsia"/>
          <w:color w:val="000000"/>
          <w:sz w:val="28"/>
          <w:szCs w:val="28"/>
        </w:rPr>
        <w:t>國家醫療科技評估中心</w:t>
      </w:r>
      <w:r w:rsidR="0076614D" w:rsidRPr="0092449C">
        <w:rPr>
          <w:rFonts w:ascii="Times New Roman" w:eastAsia="標楷體" w:hAnsi="Times New Roman" w:cs="Times New Roman"/>
          <w:color w:val="000000"/>
          <w:sz w:val="28"/>
          <w:szCs w:val="28"/>
        </w:rPr>
        <w:t>」</w:t>
      </w:r>
      <w:r w:rsidR="0068657D" w:rsidRPr="0092449C">
        <w:rPr>
          <w:rFonts w:ascii="Times New Roman" w:eastAsia="標楷體" w:hAnsi="Times New Roman" w:cs="Times New Roman" w:hint="eastAsia"/>
          <w:color w:val="000000"/>
          <w:sz w:val="28"/>
          <w:szCs w:val="28"/>
        </w:rPr>
        <w:t>，目前行政法人國家醫療科技評估中心設置條例草案</w:t>
      </w:r>
      <w:r w:rsidR="000E07D2" w:rsidRPr="0092449C">
        <w:rPr>
          <w:rFonts w:ascii="Times New Roman" w:eastAsia="標楷體" w:hAnsi="Times New Roman" w:cs="Times New Roman" w:hint="eastAsia"/>
          <w:color w:val="000000"/>
          <w:sz w:val="28"/>
          <w:szCs w:val="28"/>
        </w:rPr>
        <w:t>已於</w:t>
      </w:r>
      <w:r w:rsidR="000E07D2" w:rsidRPr="0092449C">
        <w:rPr>
          <w:rFonts w:ascii="Times New Roman" w:eastAsia="標楷體" w:hAnsi="Times New Roman" w:cs="Times New Roman" w:hint="eastAsia"/>
          <w:color w:val="000000"/>
          <w:sz w:val="28"/>
          <w:szCs w:val="28"/>
        </w:rPr>
        <w:t>114</w:t>
      </w:r>
      <w:r w:rsidR="000E07D2" w:rsidRPr="0092449C">
        <w:rPr>
          <w:rFonts w:ascii="Times New Roman" w:eastAsia="標楷體" w:hAnsi="Times New Roman" w:cs="Times New Roman" w:hint="eastAsia"/>
          <w:color w:val="000000"/>
          <w:sz w:val="28"/>
          <w:szCs w:val="28"/>
        </w:rPr>
        <w:t>年</w:t>
      </w:r>
      <w:r w:rsidR="000E07D2" w:rsidRPr="0092449C">
        <w:rPr>
          <w:rFonts w:ascii="Times New Roman" w:eastAsia="標楷體" w:hAnsi="Times New Roman" w:cs="Times New Roman" w:hint="eastAsia"/>
          <w:color w:val="000000"/>
          <w:sz w:val="28"/>
          <w:szCs w:val="28"/>
        </w:rPr>
        <w:t>12</w:t>
      </w:r>
      <w:r w:rsidR="000E07D2" w:rsidRPr="0092449C">
        <w:rPr>
          <w:rFonts w:ascii="Times New Roman" w:eastAsia="標楷體" w:hAnsi="Times New Roman" w:cs="Times New Roman" w:hint="eastAsia"/>
          <w:color w:val="000000"/>
          <w:sz w:val="28"/>
          <w:szCs w:val="28"/>
        </w:rPr>
        <w:t>月</w:t>
      </w:r>
      <w:r w:rsidR="000E07D2" w:rsidRPr="0092449C">
        <w:rPr>
          <w:rFonts w:ascii="Times New Roman" w:eastAsia="標楷體" w:hAnsi="Times New Roman" w:cs="Times New Roman" w:hint="eastAsia"/>
          <w:color w:val="000000"/>
          <w:sz w:val="28"/>
          <w:szCs w:val="28"/>
        </w:rPr>
        <w:t>11</w:t>
      </w:r>
      <w:r w:rsidR="000E07D2" w:rsidRPr="0092449C">
        <w:rPr>
          <w:rFonts w:ascii="Times New Roman" w:eastAsia="標楷體" w:hAnsi="Times New Roman" w:cs="Times New Roman" w:hint="eastAsia"/>
          <w:color w:val="000000"/>
          <w:sz w:val="28"/>
          <w:szCs w:val="28"/>
        </w:rPr>
        <w:t>日經行政院</w:t>
      </w:r>
      <w:r w:rsidR="000E07D2" w:rsidRPr="0092449C">
        <w:rPr>
          <w:rFonts w:ascii="Times New Roman" w:eastAsia="標楷體" w:hAnsi="Times New Roman" w:cs="Times New Roman" w:hint="eastAsia"/>
          <w:color w:val="000000"/>
          <w:sz w:val="28"/>
          <w:szCs w:val="28"/>
        </w:rPr>
        <w:t>3982</w:t>
      </w:r>
      <w:r w:rsidR="000E07D2" w:rsidRPr="0092449C">
        <w:rPr>
          <w:rFonts w:ascii="Times New Roman" w:eastAsia="標楷體" w:hAnsi="Times New Roman" w:cs="Times New Roman" w:hint="eastAsia"/>
          <w:color w:val="000000"/>
          <w:sz w:val="28"/>
          <w:szCs w:val="28"/>
        </w:rPr>
        <w:t>次院會決議通過，函送立法院審議中</w:t>
      </w:r>
      <w:r w:rsidR="00443193" w:rsidRPr="0092449C">
        <w:rPr>
          <w:rFonts w:ascii="Times New Roman" w:eastAsia="標楷體" w:hAnsi="Times New Roman" w:cs="Times New Roman"/>
          <w:color w:val="000000"/>
          <w:sz w:val="28"/>
          <w:szCs w:val="28"/>
        </w:rPr>
        <w:t>。</w:t>
      </w:r>
    </w:p>
    <w:p w14:paraId="24F9D556" w14:textId="28F0EABA" w:rsidR="00B86F41" w:rsidRPr="0092449C" w:rsidRDefault="00492007" w:rsidP="0092449C">
      <w:pPr>
        <w:pStyle w:val="a3"/>
        <w:numPr>
          <w:ilvl w:val="0"/>
          <w:numId w:val="19"/>
        </w:numPr>
        <w:spacing w:line="440" w:lineRule="exact"/>
        <w:ind w:leftChars="0"/>
        <w:jc w:val="both"/>
        <w:rPr>
          <w:rFonts w:ascii="Times New Roman" w:eastAsia="標楷體" w:hAnsi="Times New Roman" w:cs="Times New Roman"/>
          <w:color w:val="000000"/>
          <w:sz w:val="28"/>
          <w:szCs w:val="28"/>
        </w:rPr>
      </w:pPr>
      <w:r w:rsidRPr="0092449C">
        <w:rPr>
          <w:rFonts w:ascii="Times New Roman" w:eastAsia="標楷體" w:hAnsi="Times New Roman" w:cs="Times New Roman" w:hint="eastAsia"/>
          <w:color w:val="000000"/>
          <w:sz w:val="28"/>
          <w:szCs w:val="28"/>
        </w:rPr>
        <w:t>未來</w:t>
      </w:r>
      <w:r w:rsidR="00426BF3" w:rsidRPr="0092449C">
        <w:rPr>
          <w:rFonts w:ascii="Times New Roman" w:eastAsia="標楷體" w:hAnsi="Times New Roman" w:cs="Times New Roman" w:hint="eastAsia"/>
          <w:color w:val="000000"/>
          <w:sz w:val="28"/>
          <w:szCs w:val="28"/>
        </w:rPr>
        <w:t>國家醫療科技評估中心</w:t>
      </w:r>
      <w:r w:rsidRPr="0092449C">
        <w:rPr>
          <w:rFonts w:ascii="Times New Roman" w:eastAsia="標楷體" w:hAnsi="Times New Roman" w:cs="Times New Roman" w:hint="eastAsia"/>
          <w:color w:val="000000"/>
          <w:sz w:val="28"/>
          <w:szCs w:val="28"/>
        </w:rPr>
        <w:t>將</w:t>
      </w:r>
      <w:r w:rsidR="00426BF3" w:rsidRPr="0092449C">
        <w:rPr>
          <w:rFonts w:ascii="Times New Roman" w:eastAsia="標楷體" w:hAnsi="Times New Roman" w:cs="Times New Roman" w:hint="eastAsia"/>
          <w:color w:val="000000"/>
          <w:sz w:val="28"/>
          <w:szCs w:val="28"/>
        </w:rPr>
        <w:t>專</w:t>
      </w:r>
      <w:r w:rsidR="00B86F41" w:rsidRPr="0092449C">
        <w:rPr>
          <w:rFonts w:ascii="Times New Roman" w:eastAsia="標楷體" w:hAnsi="Times New Roman" w:cs="Times New Roman" w:hint="eastAsia"/>
          <w:color w:val="000000"/>
          <w:sz w:val="28"/>
          <w:szCs w:val="28"/>
        </w:rPr>
        <w:t>責</w:t>
      </w:r>
      <w:r w:rsidR="00426BF3" w:rsidRPr="0092449C">
        <w:rPr>
          <w:rFonts w:ascii="Times New Roman" w:eastAsia="標楷體" w:hAnsi="Times New Roman" w:cs="Times New Roman" w:hint="eastAsia"/>
          <w:color w:val="000000"/>
          <w:sz w:val="28"/>
          <w:szCs w:val="28"/>
        </w:rPr>
        <w:t>HTA</w:t>
      </w:r>
      <w:r w:rsidR="00B86F41" w:rsidRPr="0092449C">
        <w:rPr>
          <w:rFonts w:ascii="Times New Roman" w:eastAsia="標楷體" w:hAnsi="Times New Roman" w:cs="Times New Roman" w:hint="eastAsia"/>
          <w:color w:val="000000"/>
          <w:sz w:val="28"/>
          <w:szCs w:val="28"/>
        </w:rPr>
        <w:t>領域</w:t>
      </w:r>
      <w:r w:rsidR="00426BF3" w:rsidRPr="0092449C">
        <w:rPr>
          <w:rFonts w:ascii="Times New Roman" w:eastAsia="標楷體" w:hAnsi="Times New Roman" w:cs="Times New Roman" w:hint="eastAsia"/>
          <w:color w:val="000000"/>
          <w:sz w:val="28"/>
          <w:szCs w:val="28"/>
        </w:rPr>
        <w:t>，聚焦於臨床療效、成本效益與整體價值</w:t>
      </w:r>
      <w:r w:rsidR="00F46D5B" w:rsidRPr="0092449C">
        <w:rPr>
          <w:rFonts w:ascii="Times New Roman" w:eastAsia="標楷體" w:hAnsi="Times New Roman" w:cs="Times New Roman" w:hint="eastAsia"/>
          <w:color w:val="000000"/>
          <w:sz w:val="28"/>
          <w:szCs w:val="28"/>
        </w:rPr>
        <w:t>分析評斷</w:t>
      </w:r>
      <w:r w:rsidR="00426BF3" w:rsidRPr="0092449C">
        <w:rPr>
          <w:rFonts w:ascii="Times New Roman" w:eastAsia="標楷體" w:hAnsi="Times New Roman" w:cs="Times New Roman" w:hint="eastAsia"/>
          <w:color w:val="000000"/>
          <w:sz w:val="28"/>
          <w:szCs w:val="28"/>
        </w:rPr>
        <w:t>，</w:t>
      </w:r>
      <w:r w:rsidR="00F46D5B" w:rsidRPr="0092449C">
        <w:rPr>
          <w:rFonts w:ascii="Times New Roman" w:eastAsia="標楷體" w:hAnsi="Times New Roman" w:cs="Times New Roman" w:hint="eastAsia"/>
          <w:color w:val="000000"/>
          <w:sz w:val="28"/>
          <w:szCs w:val="28"/>
        </w:rPr>
        <w:t>提供以科學證據為基礎之決策支援資訊，作為</w:t>
      </w:r>
      <w:r w:rsidR="00F46D5B" w:rsidRPr="0092449C">
        <w:rPr>
          <w:rFonts w:ascii="Times New Roman" w:eastAsia="標楷體" w:hAnsi="Times New Roman" w:cs="Times New Roman" w:hint="eastAsia"/>
          <w:color w:val="000000"/>
          <w:sz w:val="28"/>
          <w:szCs w:val="28"/>
        </w:rPr>
        <w:lastRenderedPageBreak/>
        <w:t>健保收載</w:t>
      </w:r>
      <w:r w:rsidR="00B86F41" w:rsidRPr="0092449C">
        <w:rPr>
          <w:rFonts w:ascii="Times New Roman" w:eastAsia="標楷體" w:hAnsi="Times New Roman" w:cs="Times New Roman" w:hint="eastAsia"/>
          <w:color w:val="000000"/>
          <w:sz w:val="28"/>
          <w:szCs w:val="28"/>
        </w:rPr>
        <w:t>新藥</w:t>
      </w:r>
      <w:r w:rsidR="00F46D5B" w:rsidRPr="0092449C">
        <w:rPr>
          <w:rFonts w:ascii="Times New Roman" w:eastAsia="標楷體" w:hAnsi="Times New Roman" w:cs="Times New Roman" w:hint="eastAsia"/>
          <w:color w:val="000000"/>
          <w:sz w:val="28"/>
          <w:szCs w:val="28"/>
        </w:rPr>
        <w:t>與定價決策</w:t>
      </w:r>
      <w:r w:rsidR="00B86F41" w:rsidRPr="0092449C">
        <w:rPr>
          <w:rFonts w:ascii="Times New Roman" w:eastAsia="標楷體" w:hAnsi="Times New Roman" w:cs="Times New Roman" w:hint="eastAsia"/>
          <w:color w:val="000000"/>
          <w:sz w:val="28"/>
          <w:szCs w:val="28"/>
        </w:rPr>
        <w:t>的</w:t>
      </w:r>
      <w:r w:rsidR="00F46D5B" w:rsidRPr="0092449C">
        <w:rPr>
          <w:rFonts w:ascii="Times New Roman" w:eastAsia="標楷體" w:hAnsi="Times New Roman" w:cs="Times New Roman" w:hint="eastAsia"/>
          <w:color w:val="000000"/>
          <w:sz w:val="28"/>
          <w:szCs w:val="28"/>
        </w:rPr>
        <w:t>重要參考依據；健保署則</w:t>
      </w:r>
      <w:r w:rsidR="00B86F41" w:rsidRPr="0092449C">
        <w:rPr>
          <w:rFonts w:ascii="Times New Roman" w:eastAsia="標楷體" w:hAnsi="Times New Roman" w:cs="Times New Roman" w:hint="eastAsia"/>
          <w:color w:val="000000"/>
          <w:sz w:val="28"/>
          <w:szCs w:val="28"/>
        </w:rPr>
        <w:t>以</w:t>
      </w:r>
      <w:r w:rsidR="00F46D5B" w:rsidRPr="0092449C">
        <w:rPr>
          <w:rFonts w:ascii="Times New Roman" w:eastAsia="標楷體" w:hAnsi="Times New Roman" w:cs="Times New Roman" w:hint="eastAsia"/>
          <w:color w:val="000000"/>
          <w:sz w:val="28"/>
          <w:szCs w:val="28"/>
        </w:rPr>
        <w:t>定價決策本位</w:t>
      </w:r>
      <w:r w:rsidR="00B86F41" w:rsidRPr="0092449C">
        <w:rPr>
          <w:rFonts w:ascii="Times New Roman" w:eastAsia="標楷體" w:hAnsi="Times New Roman" w:cs="Times New Roman" w:hint="eastAsia"/>
          <w:color w:val="000000"/>
          <w:sz w:val="28"/>
          <w:szCs w:val="28"/>
        </w:rPr>
        <w:t>為主</w:t>
      </w:r>
      <w:r w:rsidR="00F46D5B" w:rsidRPr="0092449C">
        <w:rPr>
          <w:rFonts w:ascii="Times New Roman" w:eastAsia="標楷體" w:hAnsi="Times New Roman" w:cs="Times New Roman" w:hint="eastAsia"/>
          <w:color w:val="000000"/>
          <w:sz w:val="28"/>
          <w:szCs w:val="28"/>
        </w:rPr>
        <w:t>，專注於給付條件與議價協商。</w:t>
      </w:r>
    </w:p>
    <w:p w14:paraId="431EF2E8" w14:textId="4C438765" w:rsidR="008D3B75" w:rsidRPr="0092449C" w:rsidRDefault="00B86F41" w:rsidP="0092449C">
      <w:pPr>
        <w:pStyle w:val="a3"/>
        <w:numPr>
          <w:ilvl w:val="0"/>
          <w:numId w:val="19"/>
        </w:numPr>
        <w:spacing w:line="440" w:lineRule="exact"/>
        <w:ind w:leftChars="0"/>
        <w:jc w:val="both"/>
        <w:rPr>
          <w:rFonts w:ascii="Times New Roman" w:eastAsia="標楷體" w:hAnsi="Times New Roman" w:cs="Times New Roman"/>
          <w:color w:val="000000"/>
          <w:sz w:val="28"/>
          <w:szCs w:val="28"/>
        </w:rPr>
      </w:pPr>
      <w:r w:rsidRPr="0092449C">
        <w:rPr>
          <w:rFonts w:ascii="Times New Roman" w:eastAsia="標楷體" w:hAnsi="Times New Roman" w:cs="Times New Roman" w:hint="eastAsia"/>
          <w:color w:val="000000"/>
          <w:sz w:val="28"/>
          <w:szCs w:val="28"/>
        </w:rPr>
        <w:t>透過制度上「評估」與「決策」的分工</w:t>
      </w:r>
      <w:r w:rsidRPr="0092449C">
        <w:rPr>
          <w:rFonts w:ascii="Times New Roman" w:eastAsia="標楷體" w:hAnsi="Times New Roman" w:cs="Times New Roman"/>
          <w:color w:val="000000"/>
          <w:sz w:val="28"/>
          <w:szCs w:val="28"/>
        </w:rPr>
        <w:t>，</w:t>
      </w:r>
      <w:r w:rsidRPr="0092449C">
        <w:rPr>
          <w:rFonts w:ascii="Times New Roman" w:eastAsia="標楷體" w:hAnsi="Times New Roman" w:cs="Times New Roman" w:hint="eastAsia"/>
          <w:color w:val="000000"/>
          <w:sz w:val="28"/>
          <w:szCs w:val="28"/>
        </w:rPr>
        <w:t>期</w:t>
      </w:r>
      <w:r w:rsidR="00492007" w:rsidRPr="0092449C">
        <w:rPr>
          <w:rFonts w:ascii="Times New Roman" w:eastAsia="標楷體" w:hAnsi="Times New Roman" w:cs="Times New Roman" w:hint="eastAsia"/>
          <w:color w:val="000000"/>
          <w:sz w:val="28"/>
          <w:szCs w:val="28"/>
        </w:rPr>
        <w:t>強化審查效能，優化</w:t>
      </w:r>
      <w:r w:rsidRPr="0092449C">
        <w:rPr>
          <w:rFonts w:ascii="Times New Roman" w:eastAsia="標楷體" w:hAnsi="Times New Roman" w:cs="Times New Roman"/>
          <w:color w:val="000000"/>
          <w:sz w:val="28"/>
          <w:szCs w:val="28"/>
        </w:rPr>
        <w:t>決策品質與</w:t>
      </w:r>
      <w:r w:rsidR="00492007" w:rsidRPr="0092449C">
        <w:rPr>
          <w:rFonts w:ascii="Times New Roman" w:eastAsia="標楷體" w:hAnsi="Times New Roman" w:cs="Times New Roman" w:hint="eastAsia"/>
          <w:color w:val="000000"/>
          <w:sz w:val="28"/>
          <w:szCs w:val="28"/>
        </w:rPr>
        <w:t>談判</w:t>
      </w:r>
      <w:r w:rsidRPr="0092449C">
        <w:rPr>
          <w:rFonts w:ascii="Times New Roman" w:eastAsia="標楷體" w:hAnsi="Times New Roman" w:cs="Times New Roman"/>
          <w:color w:val="000000"/>
          <w:sz w:val="28"/>
          <w:szCs w:val="28"/>
        </w:rPr>
        <w:t>效率</w:t>
      </w:r>
      <w:r w:rsidR="00492007" w:rsidRPr="0092449C">
        <w:rPr>
          <w:rFonts w:ascii="Times New Roman" w:eastAsia="標楷體" w:hAnsi="Times New Roman" w:cs="Times New Roman" w:hint="eastAsia"/>
          <w:color w:val="000000"/>
          <w:sz w:val="28"/>
          <w:szCs w:val="28"/>
        </w:rPr>
        <w:t>，提升國人用藥可近性</w:t>
      </w:r>
      <w:r w:rsidRPr="0092449C">
        <w:rPr>
          <w:rFonts w:ascii="Times New Roman" w:eastAsia="標楷體" w:hAnsi="Times New Roman" w:cs="Times New Roman" w:hint="eastAsia"/>
          <w:color w:val="000000"/>
          <w:sz w:val="28"/>
          <w:szCs w:val="28"/>
        </w:rPr>
        <w:t>。此外，醫療科技評估行政法人化將有助</w:t>
      </w:r>
      <w:r w:rsidR="00492007" w:rsidRPr="0092449C">
        <w:rPr>
          <w:rFonts w:ascii="Times New Roman" w:eastAsia="標楷體" w:hAnsi="Times New Roman" w:cs="Times New Roman" w:hint="eastAsia"/>
          <w:color w:val="000000"/>
          <w:sz w:val="28"/>
          <w:szCs w:val="28"/>
        </w:rPr>
        <w:t>於</w:t>
      </w:r>
      <w:r w:rsidRPr="0092449C">
        <w:rPr>
          <w:rFonts w:ascii="Times New Roman" w:eastAsia="標楷體" w:hAnsi="Times New Roman" w:cs="Times New Roman" w:hint="eastAsia"/>
          <w:color w:val="000000"/>
          <w:sz w:val="28"/>
          <w:szCs w:val="28"/>
        </w:rPr>
        <w:t>提升人才彈性與國際接軌能力，</w:t>
      </w:r>
      <w:r w:rsidR="00492007" w:rsidRPr="0092449C">
        <w:rPr>
          <w:rFonts w:ascii="Times New Roman" w:eastAsia="標楷體" w:hAnsi="Times New Roman" w:cs="Times New Roman" w:hint="eastAsia"/>
          <w:color w:val="000000"/>
          <w:sz w:val="28"/>
          <w:szCs w:val="28"/>
        </w:rPr>
        <w:t>讓</w:t>
      </w:r>
      <w:r w:rsidRPr="0092449C">
        <w:rPr>
          <w:rFonts w:ascii="Times New Roman" w:eastAsia="標楷體" w:hAnsi="Times New Roman" w:cs="Times New Roman" w:hint="eastAsia"/>
          <w:color w:val="000000"/>
          <w:sz w:val="28"/>
          <w:szCs w:val="28"/>
        </w:rPr>
        <w:t>我國</w:t>
      </w:r>
      <w:r w:rsidRPr="0092449C">
        <w:rPr>
          <w:rFonts w:ascii="Times New Roman" w:eastAsia="標楷體" w:hAnsi="Times New Roman" w:cs="Times New Roman" w:hint="eastAsia"/>
          <w:color w:val="000000"/>
          <w:sz w:val="28"/>
          <w:szCs w:val="28"/>
        </w:rPr>
        <w:t>HTA</w:t>
      </w:r>
      <w:r w:rsidRPr="0092449C">
        <w:rPr>
          <w:rFonts w:ascii="Times New Roman" w:eastAsia="標楷體" w:hAnsi="Times New Roman" w:cs="Times New Roman" w:hint="eastAsia"/>
          <w:color w:val="000000"/>
          <w:sz w:val="28"/>
          <w:szCs w:val="28"/>
        </w:rPr>
        <w:t>體系</w:t>
      </w:r>
      <w:r w:rsidR="00492007" w:rsidRPr="0092449C">
        <w:rPr>
          <w:rFonts w:ascii="Times New Roman" w:eastAsia="標楷體" w:hAnsi="Times New Roman" w:cs="Times New Roman" w:hint="eastAsia"/>
          <w:color w:val="000000"/>
          <w:sz w:val="28"/>
          <w:szCs w:val="28"/>
        </w:rPr>
        <w:t>更具</w:t>
      </w:r>
      <w:r w:rsidRPr="0092449C">
        <w:rPr>
          <w:rFonts w:ascii="Times New Roman" w:eastAsia="標楷體" w:hAnsi="Times New Roman" w:cs="Times New Roman" w:hint="eastAsia"/>
          <w:color w:val="000000"/>
          <w:sz w:val="28"/>
          <w:szCs w:val="28"/>
        </w:rPr>
        <w:t>獨立性與公信力。</w:t>
      </w:r>
    </w:p>
    <w:p w14:paraId="54D3CA25" w14:textId="2B291445" w:rsidR="00766A9C" w:rsidRDefault="008D3B75" w:rsidP="00180B50">
      <w:pPr>
        <w:spacing w:line="440" w:lineRule="exact"/>
        <w:jc w:val="both"/>
        <w:rPr>
          <w:rFonts w:ascii="Times New Roman" w:eastAsia="標楷體" w:hAnsi="Times New Roman" w:cs="Times New Roman"/>
          <w:color w:val="000000"/>
          <w:sz w:val="28"/>
          <w:szCs w:val="28"/>
        </w:rPr>
      </w:pPr>
      <w:r w:rsidRPr="00180B50">
        <w:rPr>
          <w:rFonts w:ascii="Times New Roman" w:eastAsia="標楷體" w:hAnsi="Times New Roman" w:cs="Times New Roman"/>
          <w:noProof/>
          <w:sz w:val="28"/>
          <w:szCs w:val="28"/>
        </w:rPr>
        <mc:AlternateContent>
          <mc:Choice Requires="wps">
            <w:drawing>
              <wp:anchor distT="45720" distB="45720" distL="114300" distR="114300" simplePos="0" relativeHeight="251665408" behindDoc="0" locked="0" layoutInCell="1" allowOverlap="1" wp14:anchorId="2E8FEEF6" wp14:editId="61FB53B6">
                <wp:simplePos x="0" y="0"/>
                <wp:positionH relativeFrom="margin">
                  <wp:align>right</wp:align>
                </wp:positionH>
                <wp:positionV relativeFrom="paragraph">
                  <wp:posOffset>435610</wp:posOffset>
                </wp:positionV>
                <wp:extent cx="5734050" cy="1404620"/>
                <wp:effectExtent l="0" t="0" r="19050" b="26670"/>
                <wp:wrapSquare wrapText="bothSides"/>
                <wp:docPr id="3" name="文字方塊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1404620"/>
                        </a:xfrm>
                        <a:prstGeom prst="rect">
                          <a:avLst/>
                        </a:prstGeom>
                        <a:solidFill>
                          <a:srgbClr val="FFFFFF"/>
                        </a:solidFill>
                        <a:ln w="9525">
                          <a:solidFill>
                            <a:srgbClr val="000000"/>
                          </a:solidFill>
                          <a:miter lim="800000"/>
                          <a:headEnd/>
                          <a:tailEnd/>
                        </a:ln>
                      </wps:spPr>
                      <wps:txbx>
                        <w:txbxContent>
                          <w:p w14:paraId="769385CB" w14:textId="48C52525"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hint="eastAsia"/>
                                <w:color w:val="000000"/>
                                <w:sz w:val="28"/>
                                <w:szCs w:val="28"/>
                              </w:rPr>
                              <w:t>透明化管理與願景對接</w:t>
                            </w:r>
                            <w:r w:rsidR="007C4A7F" w:rsidRPr="00180B50">
                              <w:rPr>
                                <w:rFonts w:ascii="Times New Roman" w:eastAsia="標楷體" w:hAnsi="Times New Roman" w:cs="Times New Roman"/>
                                <w:color w:val="000000"/>
                                <w:sz w:val="28"/>
                                <w:szCs w:val="28"/>
                              </w:rPr>
                              <w:t>——</w:t>
                            </w:r>
                            <w:r w:rsidRPr="00180B50">
                              <w:rPr>
                                <w:rFonts w:ascii="Times New Roman" w:eastAsia="標楷體" w:hAnsi="Times New Roman" w:cs="Times New Roman" w:hint="eastAsia"/>
                                <w:color w:val="000000"/>
                                <w:sz w:val="28"/>
                                <w:szCs w:val="28"/>
                              </w:rPr>
                              <w:t>為了確保新藥引進能接軌「健康台灣」願景，台灣應建立並監測哪些「國家級新藥政策指標</w:t>
                            </w:r>
                            <w:r w:rsidRPr="00180B50">
                              <w:rPr>
                                <w:rFonts w:ascii="Times New Roman" w:eastAsia="標楷體" w:hAnsi="Times New Roman" w:cs="Times New Roman" w:hint="eastAsia"/>
                                <w:color w:val="000000"/>
                                <w:sz w:val="28"/>
                                <w:szCs w:val="28"/>
                              </w:rPr>
                              <w:t xml:space="preserve"> (KPI)</w:t>
                            </w:r>
                            <w:r w:rsidRPr="00180B50">
                              <w:rPr>
                                <w:rFonts w:ascii="Times New Roman" w:eastAsia="標楷體" w:hAnsi="Times New Roman" w:cs="Times New Roman" w:hint="eastAsia"/>
                                <w:color w:val="000000"/>
                                <w:sz w:val="28"/>
                                <w:szCs w:val="28"/>
                              </w:rPr>
                              <w:t>」</w:t>
                            </w:r>
                            <w:r>
                              <w:rPr>
                                <w:rFonts w:ascii="Times New Roman" w:eastAsia="標楷體" w:hAnsi="Times New Roman" w:cs="Times New Roman" w:hint="eastAsia"/>
                                <w:color w:val="000000"/>
                                <w:sz w:val="28"/>
                                <w:szCs w:val="28"/>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8FEEF6" id="文字方塊 3" o:spid="_x0000_s1029" type="#_x0000_t202" style="position:absolute;left:0;text-align:left;margin-left:400.3pt;margin-top:34.3pt;width:451.5pt;height:110.6pt;z-index:25166540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">
                <v:textbox style="mso-fit-shape-to-text:t">
                  <w:txbxContent>
                    <w:p w14:paraId="769385CB" w14:textId="48C52525" w:rsidR="00180B50" w:rsidRPr="00180B50" w:rsidRDefault="00180B50" w:rsidP="00180B50">
                      <w:pPr>
                        <w:pStyle w:val="a3"/>
                        <w:numPr>
                          <w:ilvl w:val="0"/>
                          <w:numId w:val="2"/>
                        </w:numPr>
                        <w:spacing w:line="440" w:lineRule="exact"/>
                        <w:ind w:leftChars="0" w:left="567" w:hanging="567"/>
                        <w:jc w:val="both"/>
                        <w:rPr>
                          <w:rFonts w:ascii="Times New Roman" w:eastAsia="標楷體" w:hAnsi="Times New Roman" w:cs="Times New Roman"/>
                          <w:color w:val="000000"/>
                          <w:sz w:val="28"/>
                          <w:szCs w:val="28"/>
                        </w:rPr>
                      </w:pPr>
                      <w:r w:rsidRPr="00180B50">
                        <w:rPr>
                          <w:rFonts w:ascii="Times New Roman" w:eastAsia="標楷體" w:hAnsi="Times New Roman" w:cs="Times New Roman" w:hint="eastAsia"/>
                          <w:color w:val="000000"/>
                          <w:sz w:val="28"/>
                          <w:szCs w:val="28"/>
                        </w:rPr>
                        <w:t>透明化管理與願景對接</w:t>
                      </w:r>
                      <w:r w:rsidR="007C4A7F" w:rsidRPr="00180B50">
                        <w:rPr>
                          <w:rFonts w:ascii="Times New Roman" w:eastAsia="標楷體" w:hAnsi="Times New Roman" w:cs="Times New Roman"/>
                          <w:color w:val="000000"/>
                          <w:sz w:val="28"/>
                          <w:szCs w:val="28"/>
                        </w:rPr>
                        <w:t>——</w:t>
                      </w:r>
                      <w:r w:rsidRPr="00180B50">
                        <w:rPr>
                          <w:rFonts w:ascii="Times New Roman" w:eastAsia="標楷體" w:hAnsi="Times New Roman" w:cs="Times New Roman" w:hint="eastAsia"/>
                          <w:color w:val="000000"/>
                          <w:sz w:val="28"/>
                          <w:szCs w:val="28"/>
                        </w:rPr>
                        <w:t>為了確保新藥引進能接軌「健康台灣」願景，台灣應建立並監測哪些「國家級新藥政策指標</w:t>
                      </w:r>
                      <w:r w:rsidRPr="00180B50">
                        <w:rPr>
                          <w:rFonts w:ascii="Times New Roman" w:eastAsia="標楷體" w:hAnsi="Times New Roman" w:cs="Times New Roman" w:hint="eastAsia"/>
                          <w:color w:val="000000"/>
                          <w:sz w:val="28"/>
                          <w:szCs w:val="28"/>
                        </w:rPr>
                        <w:t xml:space="preserve"> (KPI)</w:t>
                      </w:r>
                      <w:r w:rsidRPr="00180B50">
                        <w:rPr>
                          <w:rFonts w:ascii="Times New Roman" w:eastAsia="標楷體" w:hAnsi="Times New Roman" w:cs="Times New Roman" w:hint="eastAsia"/>
                          <w:color w:val="000000"/>
                          <w:sz w:val="28"/>
                          <w:szCs w:val="28"/>
                        </w:rPr>
                        <w:t>」</w:t>
                      </w:r>
                      <w:r>
                        <w:rPr>
                          <w:rFonts w:ascii="Times New Roman" w:eastAsia="標楷體" w:hAnsi="Times New Roman" w:cs="Times New Roman" w:hint="eastAsia"/>
                          <w:color w:val="000000"/>
                          <w:sz w:val="28"/>
                          <w:szCs w:val="28"/>
                        </w:rPr>
                        <w:t>？</w:t>
                      </w:r>
                    </w:p>
                  </w:txbxContent>
                </v:textbox>
                <w10:wrap type="square" anchorx="margin"/>
              </v:shape>
            </w:pict>
          </mc:Fallback>
        </mc:AlternateContent>
      </w:r>
    </w:p>
    <w:p w14:paraId="49407272" w14:textId="0E1BF9FD" w:rsidR="0093769E" w:rsidRDefault="0093769E" w:rsidP="0093769E">
      <w:pPr>
        <w:spacing w:line="440" w:lineRule="exact"/>
        <w:jc w:val="both"/>
        <w:rPr>
          <w:rFonts w:ascii="Times New Roman" w:eastAsia="標楷體" w:hAnsi="Times New Roman" w:cs="Times New Roman"/>
          <w:color w:val="000000"/>
          <w:sz w:val="28"/>
          <w:szCs w:val="28"/>
          <w:shd w:val="pct15" w:color="auto" w:fill="FFFFFF"/>
        </w:rPr>
      </w:pPr>
      <w:r>
        <w:rPr>
          <w:rFonts w:ascii="Times New Roman" w:eastAsia="標楷體" w:hAnsi="Times New Roman" w:cs="Times New Roman" w:hint="eastAsia"/>
          <w:color w:val="000000"/>
          <w:sz w:val="28"/>
          <w:szCs w:val="28"/>
          <w:shd w:val="pct15" w:color="auto" w:fill="FFFFFF"/>
        </w:rPr>
        <w:t>本署</w:t>
      </w:r>
      <w:r w:rsidRPr="00766A9C">
        <w:rPr>
          <w:rFonts w:ascii="Times New Roman" w:eastAsia="標楷體" w:hAnsi="Times New Roman" w:cs="Times New Roman" w:hint="eastAsia"/>
          <w:color w:val="000000"/>
          <w:sz w:val="28"/>
          <w:szCs w:val="28"/>
          <w:shd w:val="pct15" w:color="auto" w:fill="FFFFFF"/>
        </w:rPr>
        <w:t>說明：</w:t>
      </w:r>
    </w:p>
    <w:p w14:paraId="6252203F" w14:textId="7D6613B1" w:rsidR="00674DE8" w:rsidRPr="0093769E" w:rsidRDefault="00674DE8" w:rsidP="0093769E">
      <w:pPr>
        <w:spacing w:line="440" w:lineRule="exact"/>
        <w:jc w:val="both"/>
        <w:rPr>
          <w:rFonts w:ascii="Times New Roman" w:eastAsia="標楷體" w:hAnsi="Times New Roman" w:cs="Times New Roman"/>
          <w:color w:val="000000"/>
          <w:sz w:val="28"/>
          <w:szCs w:val="28"/>
        </w:rPr>
      </w:pPr>
      <w:r>
        <w:rPr>
          <w:rFonts w:ascii="Times New Roman" w:eastAsia="標楷體" w:hAnsi="Times New Roman" w:cs="Times New Roman" w:hint="eastAsia"/>
          <w:b/>
          <w:bCs/>
          <w:color w:val="000000"/>
          <w:sz w:val="28"/>
          <w:szCs w:val="28"/>
        </w:rPr>
        <w:t>藥品給付接軌國際治療指引，</w:t>
      </w:r>
      <w:r w:rsidR="004635B1">
        <w:rPr>
          <w:rFonts w:ascii="Times New Roman" w:eastAsia="標楷體" w:hAnsi="Times New Roman" w:cs="Times New Roman" w:hint="eastAsia"/>
          <w:b/>
          <w:bCs/>
          <w:color w:val="000000"/>
          <w:sz w:val="28"/>
          <w:szCs w:val="28"/>
        </w:rPr>
        <w:t>審查進度對外公開透明</w:t>
      </w:r>
      <w:r>
        <w:rPr>
          <w:rFonts w:ascii="Times New Roman" w:eastAsia="標楷體" w:hAnsi="Times New Roman" w:cs="Times New Roman" w:hint="eastAsia"/>
          <w:b/>
          <w:bCs/>
          <w:color w:val="000000"/>
          <w:sz w:val="28"/>
          <w:szCs w:val="28"/>
        </w:rPr>
        <w:t>。</w:t>
      </w:r>
    </w:p>
    <w:p w14:paraId="64AC45A5" w14:textId="37AD15F1" w:rsidR="00B9297F" w:rsidRPr="009A6A3C" w:rsidRDefault="00B9297F" w:rsidP="009A6A3C">
      <w:pPr>
        <w:pStyle w:val="a3"/>
        <w:numPr>
          <w:ilvl w:val="0"/>
          <w:numId w:val="20"/>
        </w:numPr>
        <w:spacing w:line="440" w:lineRule="exact"/>
        <w:ind w:leftChars="0"/>
        <w:jc w:val="both"/>
        <w:rPr>
          <w:rFonts w:ascii="Times New Roman" w:eastAsia="標楷體" w:hAnsi="Times New Roman" w:cs="Times New Roman"/>
          <w:color w:val="000000"/>
          <w:sz w:val="28"/>
          <w:szCs w:val="28"/>
        </w:rPr>
      </w:pPr>
      <w:r w:rsidRPr="009A6A3C">
        <w:rPr>
          <w:rFonts w:ascii="Times New Roman" w:eastAsia="標楷體" w:hAnsi="Times New Roman" w:cs="Times New Roman" w:hint="eastAsia"/>
          <w:color w:val="000000"/>
          <w:sz w:val="28"/>
          <w:szCs w:val="28"/>
        </w:rPr>
        <w:t>為促進我國用藥與國際接軌，本署已陸續盤點健保用藥與國際治療指引的差異，如針對癌症、</w:t>
      </w:r>
      <w:r w:rsidRPr="009A6A3C">
        <w:rPr>
          <w:rFonts w:ascii="Times New Roman" w:eastAsia="標楷體" w:hAnsi="Times New Roman" w:cs="Times New Roman" w:hint="eastAsia"/>
          <w:color w:val="000000"/>
          <w:sz w:val="28"/>
          <w:szCs w:val="28"/>
        </w:rPr>
        <w:t>ASCVD</w:t>
      </w:r>
      <w:r w:rsidRPr="009A6A3C">
        <w:rPr>
          <w:rFonts w:ascii="Times New Roman" w:eastAsia="標楷體" w:hAnsi="Times New Roman" w:cs="Times New Roman" w:hint="eastAsia"/>
          <w:color w:val="000000"/>
          <w:sz w:val="28"/>
          <w:szCs w:val="28"/>
        </w:rPr>
        <w:t>、</w:t>
      </w:r>
      <w:r w:rsidRPr="009A6A3C">
        <w:rPr>
          <w:rFonts w:ascii="Times New Roman" w:eastAsia="標楷體" w:hAnsi="Times New Roman" w:cs="Times New Roman" w:hint="eastAsia"/>
          <w:color w:val="000000"/>
          <w:sz w:val="28"/>
          <w:szCs w:val="28"/>
        </w:rPr>
        <w:t>B/C</w:t>
      </w:r>
      <w:r w:rsidRPr="009A6A3C">
        <w:rPr>
          <w:rFonts w:ascii="Times New Roman" w:eastAsia="標楷體" w:hAnsi="Times New Roman" w:cs="Times New Roman" w:hint="eastAsia"/>
          <w:color w:val="000000"/>
          <w:sz w:val="28"/>
          <w:szCs w:val="28"/>
        </w:rPr>
        <w:t>肝等疾病</w:t>
      </w:r>
      <w:r w:rsidR="009D4708" w:rsidRPr="009A6A3C">
        <w:rPr>
          <w:rFonts w:ascii="Times New Roman" w:eastAsia="標楷體" w:hAnsi="Times New Roman" w:cs="Times New Roman" w:hint="eastAsia"/>
          <w:color w:val="000000"/>
          <w:sz w:val="28"/>
          <w:szCs w:val="28"/>
        </w:rPr>
        <w:t>。現行健保在各類癌症藥物治療上，已盤點乳癌、肺癌、大腸癌等重大癌症藥品與國際指引及</w:t>
      </w:r>
      <w:r w:rsidR="009D4708" w:rsidRPr="009A6A3C">
        <w:rPr>
          <w:rFonts w:ascii="Times New Roman" w:eastAsia="標楷體" w:hAnsi="Times New Roman" w:cs="Times New Roman" w:hint="eastAsia"/>
          <w:color w:val="000000"/>
          <w:sz w:val="28"/>
          <w:szCs w:val="28"/>
        </w:rPr>
        <w:t>3</w:t>
      </w:r>
      <w:r w:rsidR="009D4708" w:rsidRPr="009A6A3C">
        <w:rPr>
          <w:rFonts w:ascii="Times New Roman" w:eastAsia="標楷體" w:hAnsi="Times New Roman" w:cs="Times New Roman" w:hint="eastAsia"/>
          <w:color w:val="000000"/>
          <w:sz w:val="28"/>
          <w:szCs w:val="28"/>
        </w:rPr>
        <w:t>大</w:t>
      </w:r>
      <w:r w:rsidR="009D4708" w:rsidRPr="009A6A3C">
        <w:rPr>
          <w:rFonts w:ascii="Times New Roman" w:eastAsia="標楷體" w:hAnsi="Times New Roman" w:cs="Times New Roman" w:hint="eastAsia"/>
          <w:color w:val="000000"/>
          <w:sz w:val="28"/>
          <w:szCs w:val="28"/>
        </w:rPr>
        <w:t>HTA</w:t>
      </w:r>
      <w:r w:rsidR="009D4708" w:rsidRPr="009A6A3C">
        <w:rPr>
          <w:rFonts w:ascii="Times New Roman" w:eastAsia="標楷體" w:hAnsi="Times New Roman" w:cs="Times New Roman" w:hint="eastAsia"/>
          <w:color w:val="000000"/>
          <w:sz w:val="28"/>
          <w:szCs w:val="28"/>
        </w:rPr>
        <w:t>組織給付建議差異，並逐步納入消化道癌、前列腺癌等，邀集相關領域醫學會及專家依各藥品之科學實證及給付效益提供建議，在健保財務可負擔下納入給付，加速補強癌症治療缺口。</w:t>
      </w:r>
    </w:p>
    <w:p w14:paraId="21ADCC45" w14:textId="52DDB1FB" w:rsidR="00B9297F" w:rsidRPr="009A6A3C" w:rsidRDefault="00E22A25" w:rsidP="009A6A3C">
      <w:pPr>
        <w:pStyle w:val="a3"/>
        <w:numPr>
          <w:ilvl w:val="0"/>
          <w:numId w:val="20"/>
        </w:numPr>
        <w:spacing w:line="440" w:lineRule="exact"/>
        <w:ind w:leftChars="0"/>
        <w:jc w:val="both"/>
        <w:rPr>
          <w:rFonts w:ascii="Times New Roman" w:eastAsia="標楷體" w:hAnsi="Times New Roman" w:cs="Times New Roman"/>
          <w:color w:val="000000"/>
          <w:sz w:val="28"/>
          <w:szCs w:val="28"/>
        </w:rPr>
      </w:pPr>
      <w:r w:rsidRPr="009A6A3C">
        <w:rPr>
          <w:rFonts w:ascii="Times New Roman" w:eastAsia="標楷體" w:hAnsi="Times New Roman" w:cs="Times New Roman" w:hint="eastAsia"/>
          <w:sz w:val="28"/>
          <w:szCs w:val="28"/>
        </w:rPr>
        <w:t>本署</w:t>
      </w:r>
      <w:r w:rsidR="00B9297F" w:rsidRPr="009A6A3C">
        <w:rPr>
          <w:rFonts w:ascii="Times New Roman" w:eastAsia="標楷體" w:hAnsi="Times New Roman" w:cs="Times New Roman" w:hint="eastAsia"/>
          <w:sz w:val="28"/>
          <w:szCs w:val="28"/>
        </w:rPr>
        <w:t>將持續關注國際在新藥引進管理上的經驗，就上市到給付時程、給付情形等面向進行評估，另為強化相關資訊透明，本署於</w:t>
      </w:r>
      <w:r w:rsidR="00B9297F" w:rsidRPr="009A6A3C">
        <w:rPr>
          <w:rFonts w:ascii="Times New Roman" w:eastAsia="標楷體" w:hAnsi="Times New Roman" w:cs="Times New Roman" w:hint="eastAsia"/>
          <w:sz w:val="28"/>
          <w:szCs w:val="28"/>
        </w:rPr>
        <w:t>115</w:t>
      </w:r>
      <w:r w:rsidR="00B9297F" w:rsidRPr="009A6A3C">
        <w:rPr>
          <w:rFonts w:ascii="Times New Roman" w:eastAsia="標楷體" w:hAnsi="Times New Roman" w:cs="Times New Roman" w:hint="eastAsia"/>
          <w:sz w:val="28"/>
          <w:szCs w:val="28"/>
        </w:rPr>
        <w:t>年</w:t>
      </w:r>
      <w:r w:rsidR="00B9297F" w:rsidRPr="009A6A3C">
        <w:rPr>
          <w:rFonts w:ascii="Times New Roman" w:eastAsia="標楷體" w:hAnsi="Times New Roman" w:cs="Times New Roman" w:hint="eastAsia"/>
          <w:sz w:val="28"/>
          <w:szCs w:val="28"/>
        </w:rPr>
        <w:t>1</w:t>
      </w:r>
      <w:r w:rsidR="00B9297F" w:rsidRPr="009A6A3C">
        <w:rPr>
          <w:rFonts w:ascii="Times New Roman" w:eastAsia="標楷體" w:hAnsi="Times New Roman" w:cs="Times New Roman" w:hint="eastAsia"/>
          <w:sz w:val="28"/>
          <w:szCs w:val="28"/>
        </w:rPr>
        <w:t>月上線新藥審議進度查詢，讓民眾及各界可即時查詢最新進度，提升新藥引進的透明度與效率。</w:t>
      </w:r>
    </w:p>
    <w:p w14:paraId="616D2D0C" w14:textId="77777777" w:rsidR="0092449C" w:rsidRDefault="0092449C" w:rsidP="0092449C">
      <w:pPr>
        <w:spacing w:line="440" w:lineRule="exact"/>
        <w:jc w:val="both"/>
        <w:rPr>
          <w:rFonts w:ascii="Times New Roman" w:eastAsia="標楷體" w:hAnsi="Times New Roman" w:cs="Times New Roman"/>
          <w:color w:val="000000"/>
          <w:sz w:val="28"/>
          <w:szCs w:val="28"/>
        </w:rPr>
      </w:pPr>
    </w:p>
    <w:p w14:paraId="472D2B0B" w14:textId="77777777" w:rsidR="0092449C" w:rsidRPr="00664E9E" w:rsidRDefault="0092449C" w:rsidP="0092449C">
      <w:pPr>
        <w:spacing w:line="440" w:lineRule="exact"/>
        <w:jc w:val="both"/>
        <w:rPr>
          <w:rFonts w:ascii="Times New Roman" w:eastAsia="標楷體" w:hAnsi="Times New Roman" w:cs="Times New Roman"/>
          <w:color w:val="000000"/>
          <w:sz w:val="28"/>
          <w:szCs w:val="28"/>
        </w:rPr>
      </w:pPr>
      <w:r w:rsidRPr="00664E9E">
        <w:rPr>
          <w:rFonts w:ascii="Times New Roman" w:eastAsia="標楷體" w:hAnsi="Times New Roman" w:cs="Times New Roman" w:hint="eastAsia"/>
          <w:color w:val="000000"/>
          <w:sz w:val="28"/>
          <w:szCs w:val="28"/>
          <w:shd w:val="pct15" w:color="auto" w:fill="FFFFFF"/>
        </w:rPr>
        <w:t>其他補充</w:t>
      </w:r>
    </w:p>
    <w:p w14:paraId="70248903" w14:textId="0F5D5E26" w:rsidR="0092449C" w:rsidRPr="0092449C" w:rsidRDefault="0092449C" w:rsidP="0092449C">
      <w:pPr>
        <w:widowControl/>
        <w:numPr>
          <w:ilvl w:val="0"/>
          <w:numId w:val="15"/>
        </w:numPr>
        <w:spacing w:after="160" w:line="480" w:lineRule="exact"/>
        <w:ind w:left="357" w:hanging="357"/>
        <w:contextualSpacing/>
        <w:rPr>
          <w:rFonts w:ascii="Times New Roman" w:eastAsia="標楷體" w:hAnsi="Times New Roman" w:cs="Times New Roman"/>
          <w:sz w:val="28"/>
          <w:szCs w:val="28"/>
          <w14:ligatures w14:val="standardContextual"/>
        </w:rPr>
      </w:pPr>
      <w:r w:rsidRPr="0092449C">
        <w:rPr>
          <w:rFonts w:ascii="Times New Roman" w:eastAsia="標楷體" w:hAnsi="Times New Roman" w:cs="Times New Roman" w:hint="eastAsia"/>
          <w:sz w:val="28"/>
          <w:szCs w:val="28"/>
          <w14:ligatures w14:val="standardContextual"/>
        </w:rPr>
        <w:t>盤點健保給付</w:t>
      </w:r>
      <w:r w:rsidR="006853EC">
        <w:rPr>
          <w:rFonts w:ascii="Times New Roman" w:eastAsia="標楷體" w:hAnsi="Times New Roman" w:cs="Times New Roman" w:hint="eastAsia"/>
          <w:sz w:val="28"/>
          <w:szCs w:val="28"/>
          <w14:ligatures w14:val="standardContextual"/>
        </w:rPr>
        <w:t>與</w:t>
      </w:r>
      <w:r w:rsidRPr="0092449C">
        <w:rPr>
          <w:rFonts w:ascii="Times New Roman" w:eastAsia="標楷體" w:hAnsi="Times New Roman" w:cs="Times New Roman" w:hint="eastAsia"/>
          <w:sz w:val="28"/>
          <w:szCs w:val="28"/>
          <w14:ligatures w14:val="standardContextual"/>
        </w:rPr>
        <w:t>國際治療指引</w:t>
      </w:r>
      <w:r w:rsidR="006853EC" w:rsidRPr="0092449C">
        <w:rPr>
          <w:rFonts w:ascii="Times New Roman" w:eastAsia="標楷體" w:hAnsi="Times New Roman" w:cs="Times New Roman" w:hint="eastAsia"/>
          <w:sz w:val="28"/>
          <w:szCs w:val="28"/>
          <w14:ligatures w14:val="standardContextual"/>
        </w:rPr>
        <w:t>接軌</w:t>
      </w:r>
      <w:r>
        <w:rPr>
          <w:rFonts w:ascii="Times New Roman" w:eastAsia="標楷體" w:hAnsi="Times New Roman" w:cs="Times New Roman" w:hint="eastAsia"/>
          <w:sz w:val="28"/>
          <w:szCs w:val="28"/>
          <w14:ligatures w14:val="standardContextual"/>
        </w:rPr>
        <w:t>成果</w:t>
      </w:r>
    </w:p>
    <w:p w14:paraId="0483D482" w14:textId="5B5FAD79" w:rsidR="0092449C" w:rsidRDefault="0092449C" w:rsidP="0092449C">
      <w:pPr>
        <w:widowControl/>
        <w:spacing w:line="480" w:lineRule="exact"/>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 xml:space="preserve">　　近年</w:t>
      </w:r>
      <w:r w:rsidRPr="00904138">
        <w:rPr>
          <w:rFonts w:ascii="Times New Roman" w:eastAsia="標楷體" w:hAnsi="Times New Roman" w:cs="Times New Roman" w:hint="eastAsia"/>
          <w:sz w:val="28"/>
          <w:szCs w:val="28"/>
        </w:rPr>
        <w:t>健保治療藥品</w:t>
      </w:r>
      <w:r>
        <w:rPr>
          <w:rFonts w:ascii="Times New Roman" w:eastAsia="標楷體" w:hAnsi="Times New Roman" w:cs="Times New Roman" w:hint="eastAsia"/>
          <w:sz w:val="28"/>
          <w:szCs w:val="28"/>
        </w:rPr>
        <w:t>盤點與美國</w:t>
      </w:r>
      <w:r>
        <w:rPr>
          <w:rFonts w:ascii="Times New Roman" w:eastAsia="標楷體" w:hAnsi="Times New Roman" w:cs="Times New Roman" w:hint="eastAsia"/>
          <w:sz w:val="28"/>
          <w:szCs w:val="28"/>
        </w:rPr>
        <w:t xml:space="preserve">NCCN (National Comprehensive Cancer Network) </w:t>
      </w:r>
      <w:r>
        <w:rPr>
          <w:rFonts w:ascii="Times New Roman" w:eastAsia="標楷體" w:hAnsi="Times New Roman" w:cs="Times New Roman" w:hint="eastAsia"/>
          <w:sz w:val="28"/>
          <w:szCs w:val="28"/>
        </w:rPr>
        <w:t>治療指引之差異，邀集相關領域專家針對指引當中被列為</w:t>
      </w:r>
      <w:r>
        <w:rPr>
          <w:rFonts w:ascii="Times New Roman" w:eastAsia="標楷體" w:hAnsi="Times New Roman" w:cs="Times New Roman" w:hint="eastAsia"/>
          <w:sz w:val="28"/>
          <w:szCs w:val="28"/>
        </w:rPr>
        <w:t>category 1</w:t>
      </w:r>
      <w:r>
        <w:rPr>
          <w:rFonts w:ascii="Times New Roman" w:eastAsia="標楷體" w:hAnsi="Times New Roman" w:cs="Times New Roman" w:hint="eastAsia"/>
          <w:sz w:val="28"/>
          <w:szCs w:val="28"/>
        </w:rPr>
        <w:t>且</w:t>
      </w:r>
      <w:r>
        <w:rPr>
          <w:rFonts w:ascii="Times New Roman" w:eastAsia="標楷體" w:hAnsi="Times New Roman" w:cs="Times New Roman" w:hint="eastAsia"/>
          <w:sz w:val="28"/>
          <w:szCs w:val="28"/>
        </w:rPr>
        <w:t>preferred treatment</w:t>
      </w:r>
      <w:r>
        <w:rPr>
          <w:rFonts w:ascii="Times New Roman" w:eastAsia="標楷體" w:hAnsi="Times New Roman" w:cs="Times New Roman" w:hint="eastAsia"/>
          <w:sz w:val="28"/>
          <w:szCs w:val="28"/>
        </w:rPr>
        <w:t>之藥品，依健保財務可支應情況下討論優先給付的項目。健保署已依照癌別為基礎盤點乳癌、肺癌、大腸癌及肝癌之治療藥品與</w:t>
      </w:r>
      <w:r>
        <w:rPr>
          <w:rFonts w:ascii="Times New Roman" w:eastAsia="標楷體" w:hAnsi="Times New Roman" w:cs="Times New Roman" w:hint="eastAsia"/>
          <w:sz w:val="28"/>
          <w:szCs w:val="28"/>
        </w:rPr>
        <w:t>NCCN</w:t>
      </w:r>
      <w:r>
        <w:rPr>
          <w:rFonts w:ascii="Times New Roman" w:eastAsia="標楷體" w:hAnsi="Times New Roman" w:cs="Times New Roman" w:hint="eastAsia"/>
          <w:sz w:val="28"/>
          <w:szCs w:val="28"/>
        </w:rPr>
        <w:t>治療指引，截至</w:t>
      </w:r>
      <w:r>
        <w:rPr>
          <w:rFonts w:ascii="Times New Roman" w:eastAsia="標楷體" w:hAnsi="Times New Roman" w:cs="Times New Roman" w:hint="eastAsia"/>
          <w:sz w:val="28"/>
          <w:szCs w:val="28"/>
        </w:rPr>
        <w:t>115</w:t>
      </w:r>
      <w:r>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3</w:t>
      </w:r>
      <w:r>
        <w:rPr>
          <w:rFonts w:ascii="Times New Roman" w:eastAsia="標楷體" w:hAnsi="Times New Roman" w:cs="Times New Roman" w:hint="eastAsia"/>
          <w:sz w:val="28"/>
          <w:szCs w:val="28"/>
        </w:rPr>
        <w:t>月盤點結果如下：</w:t>
      </w:r>
    </w:p>
    <w:p w14:paraId="7DBBB52A" w14:textId="77777777" w:rsidR="0092449C" w:rsidRDefault="0092449C" w:rsidP="0092449C">
      <w:pPr>
        <w:pStyle w:val="a3"/>
        <w:widowControl/>
        <w:numPr>
          <w:ilvl w:val="0"/>
          <w:numId w:val="18"/>
        </w:numPr>
        <w:spacing w:line="480" w:lineRule="exact"/>
        <w:ind w:leftChars="0"/>
        <w:contextualSpacing/>
        <w:jc w:val="both"/>
        <w:rPr>
          <w:rFonts w:ascii="Times New Roman" w:eastAsia="標楷體" w:hAnsi="Times New Roman" w:cs="Times New Roman"/>
          <w:sz w:val="28"/>
          <w:szCs w:val="28"/>
        </w:rPr>
      </w:pPr>
      <w:r w:rsidRPr="0092449C">
        <w:rPr>
          <w:rFonts w:ascii="Times New Roman" w:eastAsia="標楷體" w:hAnsi="Times New Roman" w:cs="Times New Roman" w:hint="eastAsia"/>
          <w:sz w:val="28"/>
          <w:szCs w:val="28"/>
        </w:rPr>
        <w:t>肺癌：共</w:t>
      </w:r>
      <w:r w:rsidRPr="0092449C">
        <w:rPr>
          <w:rFonts w:ascii="Times New Roman" w:eastAsia="標楷體" w:hAnsi="Times New Roman" w:cs="Times New Roman" w:hint="eastAsia"/>
          <w:sz w:val="28"/>
          <w:szCs w:val="28"/>
        </w:rPr>
        <w:t>13</w:t>
      </w:r>
      <w:r w:rsidRPr="0092449C">
        <w:rPr>
          <w:rFonts w:ascii="Times New Roman" w:eastAsia="標楷體" w:hAnsi="Times New Roman" w:cs="Times New Roman" w:hint="eastAsia"/>
          <w:sz w:val="28"/>
          <w:szCs w:val="28"/>
        </w:rPr>
        <w:t>項藥品，其中</w:t>
      </w:r>
      <w:r w:rsidRPr="0092449C">
        <w:rPr>
          <w:rFonts w:ascii="Times New Roman" w:eastAsia="標楷體" w:hAnsi="Times New Roman" w:cs="Times New Roman" w:hint="eastAsia"/>
          <w:sz w:val="28"/>
          <w:szCs w:val="28"/>
        </w:rPr>
        <w:t>11</w:t>
      </w:r>
      <w:r w:rsidRPr="0092449C">
        <w:rPr>
          <w:rFonts w:ascii="Times New Roman" w:eastAsia="標楷體" w:hAnsi="Times New Roman" w:cs="Times New Roman" w:hint="eastAsia"/>
          <w:sz w:val="28"/>
          <w:szCs w:val="28"/>
        </w:rPr>
        <w:t>項依適應症給付（</w:t>
      </w:r>
      <w:r w:rsidRPr="0092449C">
        <w:rPr>
          <w:rFonts w:ascii="Times New Roman" w:eastAsia="標楷體" w:hAnsi="Times New Roman" w:cs="Times New Roman" w:hint="eastAsia"/>
          <w:sz w:val="28"/>
          <w:szCs w:val="28"/>
        </w:rPr>
        <w:t>85%</w:t>
      </w:r>
      <w:r w:rsidRPr="0092449C">
        <w:rPr>
          <w:rFonts w:ascii="Times New Roman" w:eastAsia="標楷體" w:hAnsi="Times New Roman" w:cs="Times New Roman" w:hint="eastAsia"/>
          <w:sz w:val="28"/>
          <w:szCs w:val="28"/>
        </w:rPr>
        <w:t>），</w:t>
      </w:r>
      <w:r w:rsidRPr="0092449C">
        <w:rPr>
          <w:rFonts w:ascii="Times New Roman" w:eastAsia="標楷體" w:hAnsi="Times New Roman" w:cs="Times New Roman" w:hint="eastAsia"/>
          <w:sz w:val="28"/>
          <w:szCs w:val="28"/>
        </w:rPr>
        <w:t>2</w:t>
      </w:r>
      <w:r w:rsidRPr="0092449C">
        <w:rPr>
          <w:rFonts w:ascii="Times New Roman" w:eastAsia="標楷體" w:hAnsi="Times New Roman" w:cs="Times New Roman" w:hint="eastAsia"/>
          <w:sz w:val="28"/>
          <w:szCs w:val="28"/>
        </w:rPr>
        <w:t>項有給付規定（</w:t>
      </w:r>
      <w:r w:rsidRPr="0092449C">
        <w:rPr>
          <w:rFonts w:ascii="Times New Roman" w:eastAsia="標楷體" w:hAnsi="Times New Roman" w:cs="Times New Roman" w:hint="eastAsia"/>
          <w:sz w:val="28"/>
          <w:szCs w:val="28"/>
        </w:rPr>
        <w:t>15%</w:t>
      </w:r>
      <w:r w:rsidRPr="0092449C">
        <w:rPr>
          <w:rFonts w:ascii="Times New Roman" w:eastAsia="標楷體" w:hAnsi="Times New Roman" w:cs="Times New Roman" w:hint="eastAsia"/>
          <w:sz w:val="28"/>
          <w:szCs w:val="28"/>
        </w:rPr>
        <w:t>）。</w:t>
      </w:r>
    </w:p>
    <w:p w14:paraId="70D95603" w14:textId="77777777" w:rsidR="0092449C" w:rsidRDefault="0092449C" w:rsidP="0092449C">
      <w:pPr>
        <w:pStyle w:val="a3"/>
        <w:widowControl/>
        <w:numPr>
          <w:ilvl w:val="0"/>
          <w:numId w:val="18"/>
        </w:numPr>
        <w:spacing w:line="480" w:lineRule="exact"/>
        <w:ind w:leftChars="0"/>
        <w:contextualSpacing/>
        <w:jc w:val="both"/>
        <w:rPr>
          <w:rFonts w:ascii="Times New Roman" w:eastAsia="標楷體" w:hAnsi="Times New Roman" w:cs="Times New Roman"/>
          <w:sz w:val="28"/>
          <w:szCs w:val="28"/>
        </w:rPr>
      </w:pPr>
      <w:r w:rsidRPr="0092449C">
        <w:rPr>
          <w:rFonts w:ascii="Times New Roman" w:eastAsia="標楷體" w:hAnsi="Times New Roman" w:cs="Times New Roman" w:hint="eastAsia"/>
          <w:sz w:val="28"/>
          <w:szCs w:val="28"/>
        </w:rPr>
        <w:lastRenderedPageBreak/>
        <w:t>乳癌：共</w:t>
      </w:r>
      <w:r w:rsidRPr="0092449C">
        <w:rPr>
          <w:rFonts w:ascii="Times New Roman" w:eastAsia="標楷體" w:hAnsi="Times New Roman" w:cs="Times New Roman" w:hint="eastAsia"/>
          <w:sz w:val="28"/>
          <w:szCs w:val="28"/>
        </w:rPr>
        <w:t>20</w:t>
      </w:r>
      <w:r w:rsidRPr="0092449C">
        <w:rPr>
          <w:rFonts w:ascii="Times New Roman" w:eastAsia="標楷體" w:hAnsi="Times New Roman" w:cs="Times New Roman" w:hint="eastAsia"/>
          <w:sz w:val="28"/>
          <w:szCs w:val="28"/>
        </w:rPr>
        <w:t>項藥品，已給付</w:t>
      </w:r>
      <w:r w:rsidRPr="0092449C">
        <w:rPr>
          <w:rFonts w:ascii="Times New Roman" w:eastAsia="標楷體" w:hAnsi="Times New Roman" w:cs="Times New Roman" w:hint="eastAsia"/>
          <w:sz w:val="28"/>
          <w:szCs w:val="28"/>
        </w:rPr>
        <w:t>18</w:t>
      </w:r>
      <w:r w:rsidRPr="0092449C">
        <w:rPr>
          <w:rFonts w:ascii="Times New Roman" w:eastAsia="標楷體" w:hAnsi="Times New Roman" w:cs="Times New Roman" w:hint="eastAsia"/>
          <w:sz w:val="28"/>
          <w:szCs w:val="28"/>
        </w:rPr>
        <w:t>項藥品，其中</w:t>
      </w:r>
      <w:r w:rsidRPr="0092449C">
        <w:rPr>
          <w:rFonts w:ascii="Times New Roman" w:eastAsia="標楷體" w:hAnsi="Times New Roman" w:cs="Times New Roman" w:hint="eastAsia"/>
          <w:sz w:val="28"/>
          <w:szCs w:val="28"/>
        </w:rPr>
        <w:t>11</w:t>
      </w:r>
      <w:r w:rsidRPr="0092449C">
        <w:rPr>
          <w:rFonts w:ascii="Times New Roman" w:eastAsia="標楷體" w:hAnsi="Times New Roman" w:cs="Times New Roman" w:hint="eastAsia"/>
          <w:sz w:val="28"/>
          <w:szCs w:val="28"/>
        </w:rPr>
        <w:t>項依適應症給付（</w:t>
      </w:r>
      <w:r w:rsidRPr="0092449C">
        <w:rPr>
          <w:rFonts w:ascii="Times New Roman" w:eastAsia="標楷體" w:hAnsi="Times New Roman" w:cs="Times New Roman" w:hint="eastAsia"/>
          <w:sz w:val="28"/>
          <w:szCs w:val="28"/>
        </w:rPr>
        <w:t>55%</w:t>
      </w:r>
      <w:r w:rsidRPr="0092449C">
        <w:rPr>
          <w:rFonts w:ascii="Times New Roman" w:eastAsia="標楷體" w:hAnsi="Times New Roman" w:cs="Times New Roman" w:hint="eastAsia"/>
          <w:sz w:val="28"/>
          <w:szCs w:val="28"/>
        </w:rPr>
        <w:t>），</w:t>
      </w:r>
      <w:r w:rsidRPr="0092449C">
        <w:rPr>
          <w:rFonts w:ascii="Times New Roman" w:eastAsia="標楷體" w:hAnsi="Times New Roman" w:cs="Times New Roman" w:hint="eastAsia"/>
          <w:sz w:val="28"/>
          <w:szCs w:val="28"/>
        </w:rPr>
        <w:t>7</w:t>
      </w:r>
      <w:r w:rsidRPr="0092449C">
        <w:rPr>
          <w:rFonts w:ascii="Times New Roman" w:eastAsia="標楷體" w:hAnsi="Times New Roman" w:cs="Times New Roman" w:hint="eastAsia"/>
          <w:sz w:val="28"/>
          <w:szCs w:val="28"/>
        </w:rPr>
        <w:t>項有給付規定（</w:t>
      </w:r>
      <w:r w:rsidRPr="0092449C">
        <w:rPr>
          <w:rFonts w:ascii="Times New Roman" w:eastAsia="標楷體" w:hAnsi="Times New Roman" w:cs="Times New Roman" w:hint="eastAsia"/>
          <w:sz w:val="28"/>
          <w:szCs w:val="28"/>
        </w:rPr>
        <w:t>35%</w:t>
      </w:r>
      <w:r w:rsidRPr="0092449C">
        <w:rPr>
          <w:rFonts w:ascii="Times New Roman" w:eastAsia="標楷體" w:hAnsi="Times New Roman" w:cs="Times New Roman" w:hint="eastAsia"/>
          <w:sz w:val="28"/>
          <w:szCs w:val="28"/>
        </w:rPr>
        <w:t>），</w:t>
      </w:r>
      <w:r w:rsidRPr="0092449C">
        <w:rPr>
          <w:rFonts w:ascii="Times New Roman" w:eastAsia="標楷體" w:hAnsi="Times New Roman" w:cs="Times New Roman" w:hint="eastAsia"/>
          <w:sz w:val="28"/>
          <w:szCs w:val="28"/>
        </w:rPr>
        <w:t>2</w:t>
      </w:r>
      <w:r w:rsidRPr="0092449C">
        <w:rPr>
          <w:rFonts w:ascii="Times New Roman" w:eastAsia="標楷體" w:hAnsi="Times New Roman" w:cs="Times New Roman" w:hint="eastAsia"/>
          <w:sz w:val="28"/>
          <w:szCs w:val="28"/>
        </w:rPr>
        <w:t>項審議中（</w:t>
      </w:r>
      <w:r w:rsidRPr="0092449C">
        <w:rPr>
          <w:rFonts w:ascii="Times New Roman" w:eastAsia="標楷體" w:hAnsi="Times New Roman" w:cs="Times New Roman" w:hint="eastAsia"/>
          <w:sz w:val="28"/>
          <w:szCs w:val="28"/>
        </w:rPr>
        <w:t>10%</w:t>
      </w:r>
      <w:r w:rsidRPr="0092449C">
        <w:rPr>
          <w:rFonts w:ascii="Times New Roman" w:eastAsia="標楷體" w:hAnsi="Times New Roman" w:cs="Times New Roman" w:hint="eastAsia"/>
          <w:sz w:val="28"/>
          <w:szCs w:val="28"/>
        </w:rPr>
        <w:t>）。</w:t>
      </w:r>
    </w:p>
    <w:p w14:paraId="38AED44A" w14:textId="77777777" w:rsidR="0092449C" w:rsidRDefault="0092449C" w:rsidP="0092449C">
      <w:pPr>
        <w:pStyle w:val="a3"/>
        <w:widowControl/>
        <w:numPr>
          <w:ilvl w:val="0"/>
          <w:numId w:val="18"/>
        </w:numPr>
        <w:spacing w:line="480" w:lineRule="exact"/>
        <w:ind w:leftChars="0"/>
        <w:contextualSpacing/>
        <w:jc w:val="both"/>
        <w:rPr>
          <w:rFonts w:ascii="Times New Roman" w:eastAsia="標楷體" w:hAnsi="Times New Roman" w:cs="Times New Roman"/>
          <w:sz w:val="28"/>
          <w:szCs w:val="28"/>
        </w:rPr>
      </w:pPr>
      <w:r w:rsidRPr="0092449C">
        <w:rPr>
          <w:rFonts w:ascii="Times New Roman" w:eastAsia="標楷體" w:hAnsi="Times New Roman" w:cs="Times New Roman" w:hint="eastAsia"/>
          <w:sz w:val="28"/>
          <w:szCs w:val="28"/>
        </w:rPr>
        <w:t>大腸癌：健保原已給付轉移性大腸癌第一、三、四線標靶藥品，補足二線治療缺口及擴增免疫療法於第一線治療。</w:t>
      </w:r>
    </w:p>
    <w:p w14:paraId="169DBF3D" w14:textId="2CEA6EF1" w:rsidR="0092449C" w:rsidRPr="0092449C" w:rsidRDefault="0092449C" w:rsidP="0092449C">
      <w:pPr>
        <w:pStyle w:val="a3"/>
        <w:widowControl/>
        <w:numPr>
          <w:ilvl w:val="0"/>
          <w:numId w:val="18"/>
        </w:numPr>
        <w:spacing w:line="480" w:lineRule="exact"/>
        <w:ind w:leftChars="0"/>
        <w:contextualSpacing/>
        <w:jc w:val="both"/>
        <w:rPr>
          <w:rFonts w:ascii="Times New Roman" w:eastAsia="標楷體" w:hAnsi="Times New Roman" w:cs="Times New Roman"/>
          <w:sz w:val="28"/>
          <w:szCs w:val="28"/>
        </w:rPr>
      </w:pPr>
      <w:r w:rsidRPr="0092449C">
        <w:rPr>
          <w:rFonts w:ascii="Times New Roman" w:eastAsia="標楷體" w:hAnsi="Times New Roman" w:cs="Times New Roman" w:hint="eastAsia"/>
          <w:sz w:val="28"/>
          <w:szCs w:val="28"/>
        </w:rPr>
        <w:t>肝癌：肝細胞癌第一線治療共</w:t>
      </w:r>
      <w:r w:rsidRPr="0092449C">
        <w:rPr>
          <w:rFonts w:ascii="Times New Roman" w:eastAsia="標楷體" w:hAnsi="Times New Roman" w:cs="Times New Roman" w:hint="eastAsia"/>
          <w:sz w:val="28"/>
          <w:szCs w:val="28"/>
        </w:rPr>
        <w:t>2</w:t>
      </w:r>
      <w:r w:rsidRPr="0092449C">
        <w:rPr>
          <w:rFonts w:ascii="Times New Roman" w:eastAsia="標楷體" w:hAnsi="Times New Roman" w:cs="Times New Roman" w:hint="eastAsia"/>
          <w:sz w:val="28"/>
          <w:szCs w:val="28"/>
        </w:rPr>
        <w:t>項藥品且已給付（</w:t>
      </w:r>
      <w:r w:rsidRPr="0092449C">
        <w:rPr>
          <w:rFonts w:ascii="Times New Roman" w:eastAsia="標楷體" w:hAnsi="Times New Roman" w:cs="Times New Roman" w:hint="eastAsia"/>
          <w:sz w:val="28"/>
          <w:szCs w:val="28"/>
        </w:rPr>
        <w:t>100%</w:t>
      </w:r>
      <w:r w:rsidRPr="0092449C">
        <w:rPr>
          <w:rFonts w:ascii="Times New Roman" w:eastAsia="標楷體" w:hAnsi="Times New Roman" w:cs="Times New Roman" w:hint="eastAsia"/>
          <w:sz w:val="28"/>
          <w:szCs w:val="28"/>
        </w:rPr>
        <w:t>）。</w:t>
      </w:r>
    </w:p>
    <w:p w14:paraId="58A82F58" w14:textId="42DF4CDE" w:rsidR="0092449C" w:rsidRPr="0092449C" w:rsidRDefault="0092449C" w:rsidP="0092449C">
      <w:pPr>
        <w:spacing w:line="440" w:lineRule="exact"/>
        <w:jc w:val="both"/>
        <w:rPr>
          <w:rFonts w:ascii="Times New Roman" w:eastAsia="標楷體" w:hAnsi="Times New Roman" w:cs="Times New Roman"/>
          <w:color w:val="000000"/>
          <w:sz w:val="28"/>
          <w:szCs w:val="28"/>
        </w:rPr>
      </w:pPr>
    </w:p>
    <w:sectPr w:rsidR="0092449C" w:rsidRPr="0092449C" w:rsidSect="0093769E">
      <w:footerReference w:type="default" r:id="rId9"/>
      <w:pgSz w:w="11900" w:h="16840"/>
      <w:pgMar w:top="1134" w:right="1418" w:bottom="1134" w:left="1418" w:header="851" w:footer="61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DF991" w14:textId="77777777" w:rsidR="000A6038" w:rsidRDefault="000A6038" w:rsidP="0093769E">
      <w:r>
        <w:separator/>
      </w:r>
    </w:p>
  </w:endnote>
  <w:endnote w:type="continuationSeparator" w:id="0">
    <w:p w14:paraId="744454AE" w14:textId="77777777" w:rsidR="000A6038" w:rsidRDefault="000A6038" w:rsidP="00937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116014"/>
      <w:docPartObj>
        <w:docPartGallery w:val="Page Numbers (Bottom of Page)"/>
        <w:docPartUnique/>
      </w:docPartObj>
    </w:sdtPr>
    <w:sdtEndPr/>
    <w:sdtContent>
      <w:p w14:paraId="17787CD4" w14:textId="74953B2F" w:rsidR="0093769E" w:rsidRDefault="0093769E">
        <w:pPr>
          <w:pStyle w:val="a8"/>
          <w:jc w:val="center"/>
        </w:pPr>
        <w:r>
          <w:fldChar w:fldCharType="begin"/>
        </w:r>
        <w:r>
          <w:instrText>PAGE   \* MERGEFORMAT</w:instrText>
        </w:r>
        <w:r>
          <w:fldChar w:fldCharType="separate"/>
        </w:r>
        <w:r>
          <w:rPr>
            <w:lang w:val="zh-TW"/>
          </w:rPr>
          <w:t>2</w:t>
        </w:r>
        <w:r>
          <w:fldChar w:fldCharType="end"/>
        </w:r>
      </w:p>
    </w:sdtContent>
  </w:sdt>
  <w:p w14:paraId="2CF109D2" w14:textId="77777777" w:rsidR="0093769E" w:rsidRDefault="0093769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DF00C" w14:textId="77777777" w:rsidR="000A6038" w:rsidRDefault="000A6038" w:rsidP="0093769E">
      <w:r>
        <w:separator/>
      </w:r>
    </w:p>
  </w:footnote>
  <w:footnote w:type="continuationSeparator" w:id="0">
    <w:p w14:paraId="3D8B3731" w14:textId="77777777" w:rsidR="000A6038" w:rsidRDefault="000A6038" w:rsidP="00937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6160"/>
    <w:multiLevelType w:val="hybridMultilevel"/>
    <w:tmpl w:val="D584AF70"/>
    <w:lvl w:ilvl="0" w:tplc="EEBE98A6">
      <w:start w:val="1"/>
      <w:numFmt w:val="ideographLegalTraditional"/>
      <w:lvlText w:val="%1、"/>
      <w:lvlJc w:val="left"/>
      <w:pPr>
        <w:ind w:left="720" w:hanging="720"/>
      </w:pPr>
      <w:rPr>
        <w:rFonts w:hint="default"/>
        <w:b/>
        <w:bCs/>
        <w:sz w:val="32"/>
        <w:szCs w:val="32"/>
      </w:rPr>
    </w:lvl>
    <w:lvl w:ilvl="1" w:tplc="A1B084BA">
      <w:start w:val="1"/>
      <w:numFmt w:val="taiwaneseCountingThousand"/>
      <w:suff w:val="space"/>
      <w:lvlText w:val="%2、"/>
      <w:lvlJc w:val="left"/>
      <w:pPr>
        <w:ind w:left="680" w:hanging="200"/>
      </w:pPr>
      <w:rPr>
        <w:rFonts w:hint="eastAsia"/>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5D6D13"/>
    <w:multiLevelType w:val="hybridMultilevel"/>
    <w:tmpl w:val="A4969950"/>
    <w:lvl w:ilvl="0" w:tplc="081ED6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B724EB7"/>
    <w:multiLevelType w:val="hybridMultilevel"/>
    <w:tmpl w:val="C108E200"/>
    <w:lvl w:ilvl="0" w:tplc="CDD27914">
      <w:start w:val="1"/>
      <w:numFmt w:val="decimal"/>
      <w:lvlText w:val="(%1)"/>
      <w:lvlJc w:val="left"/>
      <w:pPr>
        <w:ind w:left="360" w:hanging="36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D692CA6"/>
    <w:multiLevelType w:val="hybridMultilevel"/>
    <w:tmpl w:val="FFE45E62"/>
    <w:lvl w:ilvl="0" w:tplc="B0D42D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A77FF3"/>
    <w:multiLevelType w:val="hybridMultilevel"/>
    <w:tmpl w:val="37BECC30"/>
    <w:lvl w:ilvl="0" w:tplc="FFFFFFFF">
      <w:start w:val="1"/>
      <w:numFmt w:val="decimal"/>
      <w:lvlText w:val="%1."/>
      <w:lvlJc w:val="left"/>
      <w:pPr>
        <w:ind w:left="360" w:hanging="360"/>
      </w:pPr>
      <w:rPr>
        <w:rFonts w:hint="default"/>
      </w:rPr>
    </w:lvl>
    <w:lvl w:ilvl="1" w:tplc="FFFFFFFF">
      <w:start w:val="1"/>
      <w:numFmt w:val="upperLetter"/>
      <w:lvlText w:val="%2."/>
      <w:lvlJc w:val="left"/>
      <w:pPr>
        <w:ind w:left="960" w:hanging="480"/>
      </w:pPr>
    </w:lvl>
    <w:lvl w:ilvl="2" w:tplc="FFFFFFFF">
      <w:start w:val="1"/>
      <w:numFmt w:val="lowerLetter"/>
      <w:lvlText w:val="%3."/>
      <w:lvlJc w:val="left"/>
      <w:pPr>
        <w:ind w:left="1440" w:hanging="480"/>
      </w:pPr>
      <w:rPr>
        <w:rFonts w:hint="eastAsia"/>
      </w:rPr>
    </w:lvl>
    <w:lvl w:ilvl="3" w:tplc="FFFFFFFF">
      <w:start w:val="1"/>
      <w:numFmt w:val="upperRoman"/>
      <w:lvlText w:val="%4."/>
      <w:lvlJc w:val="left"/>
      <w:pPr>
        <w:ind w:left="1920" w:hanging="480"/>
      </w:pPr>
    </w:lvl>
    <w:lvl w:ilvl="4" w:tplc="FFFFFFFF">
      <w:start w:val="1"/>
      <w:numFmt w:val="lowerRoman"/>
      <w:lvlText w:val="%5."/>
      <w:lvlJc w:val="right"/>
      <w:pPr>
        <w:ind w:left="2400" w:hanging="480"/>
      </w:pPr>
    </w:lvl>
    <w:lvl w:ilvl="5" w:tplc="FFFFFFFF">
      <w:start w:val="1"/>
      <w:numFmt w:val="decimal"/>
      <w:lvlText w:val="%6."/>
      <w:lvlJc w:val="left"/>
      <w:pPr>
        <w:ind w:left="2760" w:hanging="360"/>
      </w:pPr>
      <w:rPr>
        <w:rFonts w:hint="default"/>
      </w:r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1F05C0C"/>
    <w:multiLevelType w:val="hybridMultilevel"/>
    <w:tmpl w:val="629C6F90"/>
    <w:lvl w:ilvl="0" w:tplc="D3FA9F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D74BAB"/>
    <w:multiLevelType w:val="hybridMultilevel"/>
    <w:tmpl w:val="45BC888C"/>
    <w:lvl w:ilvl="0" w:tplc="BCC2CF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F2314E6"/>
    <w:multiLevelType w:val="hybridMultilevel"/>
    <w:tmpl w:val="4AA87EA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8" w15:restartNumberingAfterBreak="0">
    <w:nsid w:val="3322604B"/>
    <w:multiLevelType w:val="hybridMultilevel"/>
    <w:tmpl w:val="C93A5C82"/>
    <w:lvl w:ilvl="0" w:tplc="A746D9CE">
      <w:start w:val="1"/>
      <w:numFmt w:val="decimal"/>
      <w:lvlText w:val="(%1)"/>
      <w:lvlJc w:val="left"/>
      <w:pPr>
        <w:ind w:left="840" w:hanging="48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3B0D2925"/>
    <w:multiLevelType w:val="hybridMultilevel"/>
    <w:tmpl w:val="6C602436"/>
    <w:lvl w:ilvl="0" w:tplc="85F477E0">
      <w:start w:val="1"/>
      <w:numFmt w:val="decimal"/>
      <w:lvlText w:val="%1."/>
      <w:lvlJc w:val="left"/>
      <w:pPr>
        <w:ind w:left="720" w:hanging="360"/>
      </w:pPr>
      <w:rPr>
        <w:rFonts w:ascii="Times New Roman" w:eastAsia="標楷體" w:hAnsi="Times New Roman" w:cs="Times New Roman"/>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0" w15:restartNumberingAfterBreak="0">
    <w:nsid w:val="3D022A69"/>
    <w:multiLevelType w:val="hybridMultilevel"/>
    <w:tmpl w:val="52642F3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63053E0"/>
    <w:multiLevelType w:val="hybridMultilevel"/>
    <w:tmpl w:val="E4E492CC"/>
    <w:lvl w:ilvl="0" w:tplc="D564D6B6">
      <w:start w:val="1"/>
      <w:numFmt w:val="decimal"/>
      <w:lvlText w:val="(%1)"/>
      <w:lvlJc w:val="left"/>
      <w:pPr>
        <w:ind w:left="480" w:hanging="480"/>
      </w:pPr>
      <w:rPr>
        <w:rFonts w:hint="default"/>
      </w:rPr>
    </w:lvl>
    <w:lvl w:ilvl="1" w:tplc="04090019" w:tentative="1">
      <w:start w:val="1"/>
      <w:numFmt w:val="ideographTraditional"/>
      <w:lvlText w:val="%2、"/>
      <w:lvlJc w:val="left"/>
      <w:pPr>
        <w:ind w:left="360" w:hanging="480"/>
      </w:pPr>
    </w:lvl>
    <w:lvl w:ilvl="2" w:tplc="0409001B" w:tentative="1">
      <w:start w:val="1"/>
      <w:numFmt w:val="lowerRoman"/>
      <w:lvlText w:val="%3."/>
      <w:lvlJc w:val="right"/>
      <w:pPr>
        <w:ind w:left="840" w:hanging="480"/>
      </w:pPr>
    </w:lvl>
    <w:lvl w:ilvl="3" w:tplc="0409000F" w:tentative="1">
      <w:start w:val="1"/>
      <w:numFmt w:val="decimal"/>
      <w:lvlText w:val="%4."/>
      <w:lvlJc w:val="left"/>
      <w:pPr>
        <w:ind w:left="1320" w:hanging="480"/>
      </w:pPr>
    </w:lvl>
    <w:lvl w:ilvl="4" w:tplc="04090019" w:tentative="1">
      <w:start w:val="1"/>
      <w:numFmt w:val="ideographTraditional"/>
      <w:lvlText w:val="%5、"/>
      <w:lvlJc w:val="left"/>
      <w:pPr>
        <w:ind w:left="1800" w:hanging="480"/>
      </w:pPr>
    </w:lvl>
    <w:lvl w:ilvl="5" w:tplc="0409001B" w:tentative="1">
      <w:start w:val="1"/>
      <w:numFmt w:val="lowerRoman"/>
      <w:lvlText w:val="%6."/>
      <w:lvlJc w:val="right"/>
      <w:pPr>
        <w:ind w:left="2280" w:hanging="480"/>
      </w:pPr>
    </w:lvl>
    <w:lvl w:ilvl="6" w:tplc="0409000F" w:tentative="1">
      <w:start w:val="1"/>
      <w:numFmt w:val="decimal"/>
      <w:lvlText w:val="%7."/>
      <w:lvlJc w:val="left"/>
      <w:pPr>
        <w:ind w:left="2760" w:hanging="480"/>
      </w:pPr>
    </w:lvl>
    <w:lvl w:ilvl="7" w:tplc="04090019" w:tentative="1">
      <w:start w:val="1"/>
      <w:numFmt w:val="ideographTraditional"/>
      <w:lvlText w:val="%8、"/>
      <w:lvlJc w:val="left"/>
      <w:pPr>
        <w:ind w:left="3240" w:hanging="480"/>
      </w:pPr>
    </w:lvl>
    <w:lvl w:ilvl="8" w:tplc="0409001B" w:tentative="1">
      <w:start w:val="1"/>
      <w:numFmt w:val="lowerRoman"/>
      <w:lvlText w:val="%9."/>
      <w:lvlJc w:val="right"/>
      <w:pPr>
        <w:ind w:left="3720" w:hanging="480"/>
      </w:pPr>
    </w:lvl>
  </w:abstractNum>
  <w:abstractNum w:abstractNumId="12" w15:restartNumberingAfterBreak="0">
    <w:nsid w:val="4AD63E24"/>
    <w:multiLevelType w:val="hybridMultilevel"/>
    <w:tmpl w:val="87FC5BBE"/>
    <w:lvl w:ilvl="0" w:tplc="A3EAE61E">
      <w:start w:val="1"/>
      <w:numFmt w:val="decimal"/>
      <w:lvlText w:val="(%1)"/>
      <w:lvlJc w:val="left"/>
      <w:pPr>
        <w:ind w:left="495" w:hanging="360"/>
      </w:pPr>
      <w:rPr>
        <w:rFonts w:hint="default"/>
        <w:color w:val="auto"/>
      </w:rPr>
    </w:lvl>
    <w:lvl w:ilvl="1" w:tplc="04090019" w:tentative="1">
      <w:start w:val="1"/>
      <w:numFmt w:val="ideographTraditional"/>
      <w:lvlText w:val="%2、"/>
      <w:lvlJc w:val="left"/>
      <w:pPr>
        <w:ind w:left="1095" w:hanging="480"/>
      </w:pPr>
    </w:lvl>
    <w:lvl w:ilvl="2" w:tplc="0409001B" w:tentative="1">
      <w:start w:val="1"/>
      <w:numFmt w:val="lowerRoman"/>
      <w:lvlText w:val="%3."/>
      <w:lvlJc w:val="right"/>
      <w:pPr>
        <w:ind w:left="1575" w:hanging="480"/>
      </w:pPr>
    </w:lvl>
    <w:lvl w:ilvl="3" w:tplc="0409000F" w:tentative="1">
      <w:start w:val="1"/>
      <w:numFmt w:val="decimal"/>
      <w:lvlText w:val="%4."/>
      <w:lvlJc w:val="left"/>
      <w:pPr>
        <w:ind w:left="2055" w:hanging="480"/>
      </w:pPr>
    </w:lvl>
    <w:lvl w:ilvl="4" w:tplc="04090019" w:tentative="1">
      <w:start w:val="1"/>
      <w:numFmt w:val="ideographTraditional"/>
      <w:lvlText w:val="%5、"/>
      <w:lvlJc w:val="left"/>
      <w:pPr>
        <w:ind w:left="2535" w:hanging="480"/>
      </w:pPr>
    </w:lvl>
    <w:lvl w:ilvl="5" w:tplc="0409001B" w:tentative="1">
      <w:start w:val="1"/>
      <w:numFmt w:val="lowerRoman"/>
      <w:lvlText w:val="%6."/>
      <w:lvlJc w:val="right"/>
      <w:pPr>
        <w:ind w:left="3015" w:hanging="480"/>
      </w:pPr>
    </w:lvl>
    <w:lvl w:ilvl="6" w:tplc="0409000F" w:tentative="1">
      <w:start w:val="1"/>
      <w:numFmt w:val="decimal"/>
      <w:lvlText w:val="%7."/>
      <w:lvlJc w:val="left"/>
      <w:pPr>
        <w:ind w:left="3495" w:hanging="480"/>
      </w:pPr>
    </w:lvl>
    <w:lvl w:ilvl="7" w:tplc="04090019" w:tentative="1">
      <w:start w:val="1"/>
      <w:numFmt w:val="ideographTraditional"/>
      <w:lvlText w:val="%8、"/>
      <w:lvlJc w:val="left"/>
      <w:pPr>
        <w:ind w:left="3975" w:hanging="480"/>
      </w:pPr>
    </w:lvl>
    <w:lvl w:ilvl="8" w:tplc="0409001B" w:tentative="1">
      <w:start w:val="1"/>
      <w:numFmt w:val="lowerRoman"/>
      <w:lvlText w:val="%9."/>
      <w:lvlJc w:val="right"/>
      <w:pPr>
        <w:ind w:left="4455" w:hanging="480"/>
      </w:pPr>
    </w:lvl>
  </w:abstractNum>
  <w:abstractNum w:abstractNumId="13" w15:restartNumberingAfterBreak="0">
    <w:nsid w:val="531F2123"/>
    <w:multiLevelType w:val="hybridMultilevel"/>
    <w:tmpl w:val="C6AAE0F0"/>
    <w:lvl w:ilvl="0" w:tplc="4790D10E">
      <w:start w:val="1"/>
      <w:numFmt w:val="decimal"/>
      <w:lvlText w:val="(%1)"/>
      <w:lvlJc w:val="left"/>
      <w:pPr>
        <w:ind w:left="640" w:hanging="360"/>
      </w:pPr>
      <w:rPr>
        <w:rFonts w:hint="default"/>
      </w:rPr>
    </w:lvl>
    <w:lvl w:ilvl="1" w:tplc="04090019" w:tentative="1">
      <w:start w:val="1"/>
      <w:numFmt w:val="ideographTraditional"/>
      <w:lvlText w:val="%2、"/>
      <w:lvlJc w:val="left"/>
      <w:pPr>
        <w:ind w:left="1240" w:hanging="480"/>
      </w:pPr>
    </w:lvl>
    <w:lvl w:ilvl="2" w:tplc="0409001B" w:tentative="1">
      <w:start w:val="1"/>
      <w:numFmt w:val="lowerRoman"/>
      <w:lvlText w:val="%3."/>
      <w:lvlJc w:val="right"/>
      <w:pPr>
        <w:ind w:left="1720" w:hanging="480"/>
      </w:pPr>
    </w:lvl>
    <w:lvl w:ilvl="3" w:tplc="0409000F" w:tentative="1">
      <w:start w:val="1"/>
      <w:numFmt w:val="decimal"/>
      <w:lvlText w:val="%4."/>
      <w:lvlJc w:val="left"/>
      <w:pPr>
        <w:ind w:left="2200" w:hanging="480"/>
      </w:pPr>
    </w:lvl>
    <w:lvl w:ilvl="4" w:tplc="04090019" w:tentative="1">
      <w:start w:val="1"/>
      <w:numFmt w:val="ideographTraditional"/>
      <w:lvlText w:val="%5、"/>
      <w:lvlJc w:val="left"/>
      <w:pPr>
        <w:ind w:left="2680" w:hanging="480"/>
      </w:pPr>
    </w:lvl>
    <w:lvl w:ilvl="5" w:tplc="0409001B" w:tentative="1">
      <w:start w:val="1"/>
      <w:numFmt w:val="lowerRoman"/>
      <w:lvlText w:val="%6."/>
      <w:lvlJc w:val="right"/>
      <w:pPr>
        <w:ind w:left="3160" w:hanging="480"/>
      </w:pPr>
    </w:lvl>
    <w:lvl w:ilvl="6" w:tplc="0409000F" w:tentative="1">
      <w:start w:val="1"/>
      <w:numFmt w:val="decimal"/>
      <w:lvlText w:val="%7."/>
      <w:lvlJc w:val="left"/>
      <w:pPr>
        <w:ind w:left="3640" w:hanging="480"/>
      </w:pPr>
    </w:lvl>
    <w:lvl w:ilvl="7" w:tplc="04090019" w:tentative="1">
      <w:start w:val="1"/>
      <w:numFmt w:val="ideographTraditional"/>
      <w:lvlText w:val="%8、"/>
      <w:lvlJc w:val="left"/>
      <w:pPr>
        <w:ind w:left="4120" w:hanging="480"/>
      </w:pPr>
    </w:lvl>
    <w:lvl w:ilvl="8" w:tplc="0409001B" w:tentative="1">
      <w:start w:val="1"/>
      <w:numFmt w:val="lowerRoman"/>
      <w:lvlText w:val="%9."/>
      <w:lvlJc w:val="right"/>
      <w:pPr>
        <w:ind w:left="4600" w:hanging="480"/>
      </w:pPr>
    </w:lvl>
  </w:abstractNum>
  <w:abstractNum w:abstractNumId="14" w15:restartNumberingAfterBreak="0">
    <w:nsid w:val="5A9C4C07"/>
    <w:multiLevelType w:val="hybridMultilevel"/>
    <w:tmpl w:val="F7A03CA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1F1382C"/>
    <w:multiLevelType w:val="hybridMultilevel"/>
    <w:tmpl w:val="B290F37E"/>
    <w:lvl w:ilvl="0" w:tplc="04090015">
      <w:start w:val="1"/>
      <w:numFmt w:val="taiwaneseCountingThousand"/>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25074F5"/>
    <w:multiLevelType w:val="hybridMultilevel"/>
    <w:tmpl w:val="6DB095EA"/>
    <w:lvl w:ilvl="0" w:tplc="A746D9CE">
      <w:start w:val="1"/>
      <w:numFmt w:val="decimal"/>
      <w:lvlText w:val="(%1)"/>
      <w:lvlJc w:val="left"/>
      <w:pPr>
        <w:ind w:left="1080" w:hanging="480"/>
      </w:pPr>
      <w:rPr>
        <w:rFonts w:hint="default"/>
      </w:rPr>
    </w:lvl>
    <w:lvl w:ilvl="1" w:tplc="04090019" w:tentative="1">
      <w:start w:val="1"/>
      <w:numFmt w:val="ideographTraditional"/>
      <w:lvlText w:val="%2、"/>
      <w:lvlJc w:val="left"/>
      <w:pPr>
        <w:ind w:left="1560" w:hanging="480"/>
      </w:pPr>
    </w:lvl>
    <w:lvl w:ilvl="2" w:tplc="0409001B" w:tentative="1">
      <w:start w:val="1"/>
      <w:numFmt w:val="lowerRoman"/>
      <w:lvlText w:val="%3."/>
      <w:lvlJc w:val="right"/>
      <w:pPr>
        <w:ind w:left="2040" w:hanging="480"/>
      </w:pPr>
    </w:lvl>
    <w:lvl w:ilvl="3" w:tplc="0409000F" w:tentative="1">
      <w:start w:val="1"/>
      <w:numFmt w:val="decimal"/>
      <w:lvlText w:val="%4."/>
      <w:lvlJc w:val="left"/>
      <w:pPr>
        <w:ind w:left="2520" w:hanging="480"/>
      </w:pPr>
    </w:lvl>
    <w:lvl w:ilvl="4" w:tplc="04090019" w:tentative="1">
      <w:start w:val="1"/>
      <w:numFmt w:val="ideographTraditional"/>
      <w:lvlText w:val="%5、"/>
      <w:lvlJc w:val="left"/>
      <w:pPr>
        <w:ind w:left="3000" w:hanging="480"/>
      </w:pPr>
    </w:lvl>
    <w:lvl w:ilvl="5" w:tplc="0409001B" w:tentative="1">
      <w:start w:val="1"/>
      <w:numFmt w:val="lowerRoman"/>
      <w:lvlText w:val="%6."/>
      <w:lvlJc w:val="right"/>
      <w:pPr>
        <w:ind w:left="3480" w:hanging="480"/>
      </w:pPr>
    </w:lvl>
    <w:lvl w:ilvl="6" w:tplc="0409000F" w:tentative="1">
      <w:start w:val="1"/>
      <w:numFmt w:val="decimal"/>
      <w:lvlText w:val="%7."/>
      <w:lvlJc w:val="left"/>
      <w:pPr>
        <w:ind w:left="3960" w:hanging="480"/>
      </w:pPr>
    </w:lvl>
    <w:lvl w:ilvl="7" w:tplc="04090019" w:tentative="1">
      <w:start w:val="1"/>
      <w:numFmt w:val="ideographTraditional"/>
      <w:lvlText w:val="%8、"/>
      <w:lvlJc w:val="left"/>
      <w:pPr>
        <w:ind w:left="4440" w:hanging="480"/>
      </w:pPr>
    </w:lvl>
    <w:lvl w:ilvl="8" w:tplc="0409001B" w:tentative="1">
      <w:start w:val="1"/>
      <w:numFmt w:val="lowerRoman"/>
      <w:lvlText w:val="%9."/>
      <w:lvlJc w:val="right"/>
      <w:pPr>
        <w:ind w:left="4920" w:hanging="480"/>
      </w:pPr>
    </w:lvl>
  </w:abstractNum>
  <w:abstractNum w:abstractNumId="17" w15:restartNumberingAfterBreak="0">
    <w:nsid w:val="6688326E"/>
    <w:multiLevelType w:val="hybridMultilevel"/>
    <w:tmpl w:val="7DEC58D2"/>
    <w:lvl w:ilvl="0" w:tplc="1B32C74E">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7254948"/>
    <w:multiLevelType w:val="hybridMultilevel"/>
    <w:tmpl w:val="2A54512E"/>
    <w:lvl w:ilvl="0" w:tplc="BE6493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A883533"/>
    <w:multiLevelType w:val="hybridMultilevel"/>
    <w:tmpl w:val="0EBCA7AE"/>
    <w:lvl w:ilvl="0" w:tplc="FFACEE42">
      <w:start w:val="1"/>
      <w:numFmt w:val="decimal"/>
      <w:lvlText w:val="(%1)"/>
      <w:lvlJc w:val="left"/>
      <w:pPr>
        <w:ind w:left="495" w:hanging="360"/>
      </w:pPr>
      <w:rPr>
        <w:rFonts w:hint="default"/>
      </w:rPr>
    </w:lvl>
    <w:lvl w:ilvl="1" w:tplc="04090019" w:tentative="1">
      <w:start w:val="1"/>
      <w:numFmt w:val="ideographTraditional"/>
      <w:lvlText w:val="%2、"/>
      <w:lvlJc w:val="left"/>
      <w:pPr>
        <w:ind w:left="1095" w:hanging="480"/>
      </w:pPr>
    </w:lvl>
    <w:lvl w:ilvl="2" w:tplc="0409001B" w:tentative="1">
      <w:start w:val="1"/>
      <w:numFmt w:val="lowerRoman"/>
      <w:lvlText w:val="%3."/>
      <w:lvlJc w:val="right"/>
      <w:pPr>
        <w:ind w:left="1575" w:hanging="480"/>
      </w:pPr>
    </w:lvl>
    <w:lvl w:ilvl="3" w:tplc="0409000F" w:tentative="1">
      <w:start w:val="1"/>
      <w:numFmt w:val="decimal"/>
      <w:lvlText w:val="%4."/>
      <w:lvlJc w:val="left"/>
      <w:pPr>
        <w:ind w:left="2055" w:hanging="480"/>
      </w:pPr>
    </w:lvl>
    <w:lvl w:ilvl="4" w:tplc="04090019" w:tentative="1">
      <w:start w:val="1"/>
      <w:numFmt w:val="ideographTraditional"/>
      <w:lvlText w:val="%5、"/>
      <w:lvlJc w:val="left"/>
      <w:pPr>
        <w:ind w:left="2535" w:hanging="480"/>
      </w:pPr>
    </w:lvl>
    <w:lvl w:ilvl="5" w:tplc="0409001B" w:tentative="1">
      <w:start w:val="1"/>
      <w:numFmt w:val="lowerRoman"/>
      <w:lvlText w:val="%6."/>
      <w:lvlJc w:val="right"/>
      <w:pPr>
        <w:ind w:left="3015" w:hanging="480"/>
      </w:pPr>
    </w:lvl>
    <w:lvl w:ilvl="6" w:tplc="0409000F" w:tentative="1">
      <w:start w:val="1"/>
      <w:numFmt w:val="decimal"/>
      <w:lvlText w:val="%7."/>
      <w:lvlJc w:val="left"/>
      <w:pPr>
        <w:ind w:left="3495" w:hanging="480"/>
      </w:pPr>
    </w:lvl>
    <w:lvl w:ilvl="7" w:tplc="04090019" w:tentative="1">
      <w:start w:val="1"/>
      <w:numFmt w:val="ideographTraditional"/>
      <w:lvlText w:val="%8、"/>
      <w:lvlJc w:val="left"/>
      <w:pPr>
        <w:ind w:left="3975" w:hanging="480"/>
      </w:pPr>
    </w:lvl>
    <w:lvl w:ilvl="8" w:tplc="0409001B" w:tentative="1">
      <w:start w:val="1"/>
      <w:numFmt w:val="lowerRoman"/>
      <w:lvlText w:val="%9."/>
      <w:lvlJc w:val="right"/>
      <w:pPr>
        <w:ind w:left="4455" w:hanging="480"/>
      </w:pPr>
    </w:lvl>
  </w:abstractNum>
  <w:abstractNum w:abstractNumId="20" w15:restartNumberingAfterBreak="0">
    <w:nsid w:val="75936740"/>
    <w:multiLevelType w:val="hybridMultilevel"/>
    <w:tmpl w:val="0862DB1A"/>
    <w:lvl w:ilvl="0" w:tplc="968011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52454458">
    <w:abstractNumId w:val="14"/>
  </w:num>
  <w:num w:numId="2" w16cid:durableId="161166185">
    <w:abstractNumId w:val="15"/>
  </w:num>
  <w:num w:numId="3" w16cid:durableId="2001494804">
    <w:abstractNumId w:val="9"/>
  </w:num>
  <w:num w:numId="4" w16cid:durableId="1640719034">
    <w:abstractNumId w:val="10"/>
  </w:num>
  <w:num w:numId="5" w16cid:durableId="879131661">
    <w:abstractNumId w:val="3"/>
  </w:num>
  <w:num w:numId="6" w16cid:durableId="916943284">
    <w:abstractNumId w:val="5"/>
  </w:num>
  <w:num w:numId="7" w16cid:durableId="2076708151">
    <w:abstractNumId w:val="17"/>
  </w:num>
  <w:num w:numId="8" w16cid:durableId="772633783">
    <w:abstractNumId w:val="8"/>
  </w:num>
  <w:num w:numId="9" w16cid:durableId="33969775">
    <w:abstractNumId w:val="16"/>
  </w:num>
  <w:num w:numId="10" w16cid:durableId="1368800387">
    <w:abstractNumId w:val="7"/>
  </w:num>
  <w:num w:numId="11" w16cid:durableId="1406799555">
    <w:abstractNumId w:val="0"/>
  </w:num>
  <w:num w:numId="12" w16cid:durableId="1899584663">
    <w:abstractNumId w:val="11"/>
  </w:num>
  <w:num w:numId="13" w16cid:durableId="1764764954">
    <w:abstractNumId w:val="12"/>
  </w:num>
  <w:num w:numId="14" w16cid:durableId="763649354">
    <w:abstractNumId w:val="1"/>
  </w:num>
  <w:num w:numId="15" w16cid:durableId="1685472621">
    <w:abstractNumId w:val="4"/>
  </w:num>
  <w:num w:numId="16" w16cid:durableId="1257598103">
    <w:abstractNumId w:val="2"/>
  </w:num>
  <w:num w:numId="17" w16cid:durableId="1053383927">
    <w:abstractNumId w:val="13"/>
  </w:num>
  <w:num w:numId="18" w16cid:durableId="776095337">
    <w:abstractNumId w:val="19"/>
  </w:num>
  <w:num w:numId="19" w16cid:durableId="1182548048">
    <w:abstractNumId w:val="6"/>
  </w:num>
  <w:num w:numId="20" w16cid:durableId="1412846751">
    <w:abstractNumId w:val="18"/>
  </w:num>
  <w:num w:numId="21" w16cid:durableId="12710068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193"/>
    <w:rsid w:val="00042880"/>
    <w:rsid w:val="00055F18"/>
    <w:rsid w:val="000A1CE1"/>
    <w:rsid w:val="000A6038"/>
    <w:rsid w:val="000E07D2"/>
    <w:rsid w:val="00180B50"/>
    <w:rsid w:val="0018787F"/>
    <w:rsid w:val="001B6734"/>
    <w:rsid w:val="001C4B2B"/>
    <w:rsid w:val="002A676B"/>
    <w:rsid w:val="003F1298"/>
    <w:rsid w:val="00417989"/>
    <w:rsid w:val="00426BF3"/>
    <w:rsid w:val="00443193"/>
    <w:rsid w:val="00461614"/>
    <w:rsid w:val="004635B1"/>
    <w:rsid w:val="00492007"/>
    <w:rsid w:val="004E48F2"/>
    <w:rsid w:val="00507F2C"/>
    <w:rsid w:val="0065756A"/>
    <w:rsid w:val="00664E9E"/>
    <w:rsid w:val="00666207"/>
    <w:rsid w:val="00674DE8"/>
    <w:rsid w:val="006853EC"/>
    <w:rsid w:val="0068657D"/>
    <w:rsid w:val="006F3BBB"/>
    <w:rsid w:val="0076614D"/>
    <w:rsid w:val="00766A9C"/>
    <w:rsid w:val="007B2D67"/>
    <w:rsid w:val="007C4A7F"/>
    <w:rsid w:val="007C6522"/>
    <w:rsid w:val="00830008"/>
    <w:rsid w:val="008543C6"/>
    <w:rsid w:val="0086178D"/>
    <w:rsid w:val="00872090"/>
    <w:rsid w:val="008960F5"/>
    <w:rsid w:val="008D3B75"/>
    <w:rsid w:val="008F3514"/>
    <w:rsid w:val="0092449C"/>
    <w:rsid w:val="0093769E"/>
    <w:rsid w:val="009A6A3C"/>
    <w:rsid w:val="009D4708"/>
    <w:rsid w:val="00A21A18"/>
    <w:rsid w:val="00AB6796"/>
    <w:rsid w:val="00AD5A25"/>
    <w:rsid w:val="00AE08FE"/>
    <w:rsid w:val="00AF6FE6"/>
    <w:rsid w:val="00B266C6"/>
    <w:rsid w:val="00B56C46"/>
    <w:rsid w:val="00B610CA"/>
    <w:rsid w:val="00B86F41"/>
    <w:rsid w:val="00B877A6"/>
    <w:rsid w:val="00B9297F"/>
    <w:rsid w:val="00BA1A4F"/>
    <w:rsid w:val="00BB235A"/>
    <w:rsid w:val="00BB44F2"/>
    <w:rsid w:val="00C42ECE"/>
    <w:rsid w:val="00C639C6"/>
    <w:rsid w:val="00C72401"/>
    <w:rsid w:val="00CD45E9"/>
    <w:rsid w:val="00CE7F8F"/>
    <w:rsid w:val="00CF1875"/>
    <w:rsid w:val="00D65CCD"/>
    <w:rsid w:val="00E14E9B"/>
    <w:rsid w:val="00E22A25"/>
    <w:rsid w:val="00E32B04"/>
    <w:rsid w:val="00E512CC"/>
    <w:rsid w:val="00E51C75"/>
    <w:rsid w:val="00E82659"/>
    <w:rsid w:val="00E82EFF"/>
    <w:rsid w:val="00F00D8E"/>
    <w:rsid w:val="00F46D5B"/>
    <w:rsid w:val="00F62560"/>
    <w:rsid w:val="00F71326"/>
    <w:rsid w:val="00FE10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D5EF1"/>
  <w15:chartTrackingRefBased/>
  <w15:docId w15:val="{F1D8BD33-7541-4444-B7F7-392AD0FEE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numbered,Paragraphe de liste1,Bulletr List Paragraph,Bullet List,FooterText,List Paragraph1,List Paragraph21,List Paragraph11,Parágrafo da Lista1,リスト段落1,Listeafsnit1,Listenabsatz,リスト段落,Plan,Fo,List Pa,列出段落1,Par¨￠gr,圖標號,01章名,樣式A,圖標,Bullet1,Bullet 1"/>
    <w:basedOn w:val="a"/>
    <w:link w:val="a4"/>
    <w:uiPriority w:val="34"/>
    <w:qFormat/>
    <w:rsid w:val="00443193"/>
    <w:pPr>
      <w:ind w:leftChars="200" w:left="480"/>
    </w:pPr>
  </w:style>
  <w:style w:type="character" w:customStyle="1" w:styleId="apple-converted-space">
    <w:name w:val="apple-converted-space"/>
    <w:basedOn w:val="a0"/>
    <w:rsid w:val="00443193"/>
  </w:style>
  <w:style w:type="character" w:customStyle="1" w:styleId="whitespace-normal">
    <w:name w:val="whitespace-normal"/>
    <w:basedOn w:val="a0"/>
    <w:rsid w:val="00443193"/>
  </w:style>
  <w:style w:type="table" w:styleId="a5">
    <w:name w:val="Table Grid"/>
    <w:basedOn w:val="a1"/>
    <w:uiPriority w:val="39"/>
    <w:rsid w:val="00BA1A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93769E"/>
    <w:pPr>
      <w:tabs>
        <w:tab w:val="center" w:pos="4153"/>
        <w:tab w:val="right" w:pos="8306"/>
      </w:tabs>
      <w:snapToGrid w:val="0"/>
    </w:pPr>
    <w:rPr>
      <w:sz w:val="20"/>
      <w:szCs w:val="20"/>
    </w:rPr>
  </w:style>
  <w:style w:type="character" w:customStyle="1" w:styleId="a7">
    <w:name w:val="頁首 字元"/>
    <w:basedOn w:val="a0"/>
    <w:link w:val="a6"/>
    <w:uiPriority w:val="99"/>
    <w:rsid w:val="0093769E"/>
    <w:rPr>
      <w:sz w:val="20"/>
      <w:szCs w:val="20"/>
    </w:rPr>
  </w:style>
  <w:style w:type="paragraph" w:styleId="a8">
    <w:name w:val="footer"/>
    <w:basedOn w:val="a"/>
    <w:link w:val="a9"/>
    <w:uiPriority w:val="99"/>
    <w:unhideWhenUsed/>
    <w:rsid w:val="0093769E"/>
    <w:pPr>
      <w:tabs>
        <w:tab w:val="center" w:pos="4153"/>
        <w:tab w:val="right" w:pos="8306"/>
      </w:tabs>
      <w:snapToGrid w:val="0"/>
    </w:pPr>
    <w:rPr>
      <w:sz w:val="20"/>
      <w:szCs w:val="20"/>
    </w:rPr>
  </w:style>
  <w:style w:type="character" w:customStyle="1" w:styleId="a9">
    <w:name w:val="頁尾 字元"/>
    <w:basedOn w:val="a0"/>
    <w:link w:val="a8"/>
    <w:uiPriority w:val="99"/>
    <w:rsid w:val="0093769E"/>
    <w:rPr>
      <w:sz w:val="20"/>
      <w:szCs w:val="20"/>
    </w:rPr>
  </w:style>
  <w:style w:type="character" w:customStyle="1" w:styleId="a4">
    <w:name w:val="清單段落 字元"/>
    <w:aliases w:val="numbered 字元,Paragraphe de liste1 字元,Bulletr List Paragraph 字元,Bullet List 字元,FooterText 字元,List Paragraph1 字元,List Paragraph21 字元,List Paragraph11 字元,Parágrafo da Lista1 字元,リスト段落1 字元,Listeafsnit1 字元,Listenabsatz 字元,リスト段落 字元,Plan 字元,Fo 字元,圖標號 字元"/>
    <w:basedOn w:val="a0"/>
    <w:link w:val="a3"/>
    <w:uiPriority w:val="34"/>
    <w:qFormat/>
    <w:rsid w:val="00AE0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2770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7FF57-989A-4B89-BC5C-39A71D373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賴奎佐</cp:lastModifiedBy>
  <cp:revision>24</cp:revision>
  <cp:lastPrinted>2026-03-26T11:23:00Z</cp:lastPrinted>
  <dcterms:created xsi:type="dcterms:W3CDTF">2026-03-27T00:38:00Z</dcterms:created>
  <dcterms:modified xsi:type="dcterms:W3CDTF">2026-03-27T05:47:00Z</dcterms:modified>
</cp:coreProperties>
</file>