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DA79" w14:textId="224D21C3" w:rsidR="00F80130" w:rsidRPr="00F506A4" w:rsidRDefault="00F80130" w:rsidP="00F80130">
      <w:pPr>
        <w:spacing w:line="480" w:lineRule="auto"/>
        <w:jc w:val="center"/>
        <w:rPr>
          <w:b/>
          <w:bCs/>
        </w:rPr>
      </w:pPr>
      <w:r w:rsidRPr="00F506A4">
        <w:rPr>
          <w:b/>
          <w:bCs/>
        </w:rPr>
        <w:t>Mutual Fund Comparison: Pharmaceuticals Portfolio, Gold Portfolio, &amp; Blue-Chip Growth</w:t>
      </w:r>
    </w:p>
    <w:p w14:paraId="4D339327" w14:textId="62CA955C" w:rsidR="00127063" w:rsidRDefault="00127063" w:rsidP="00F80130">
      <w:pPr>
        <w:spacing w:line="480" w:lineRule="auto"/>
        <w:jc w:val="center"/>
      </w:pPr>
      <w:r>
        <w:t>Sydney Long</w:t>
      </w:r>
    </w:p>
    <w:p w14:paraId="5BE22D27" w14:textId="77777777" w:rsidR="00F80130" w:rsidRDefault="00F80130" w:rsidP="00F80130">
      <w:pPr>
        <w:spacing w:line="480" w:lineRule="auto"/>
        <w:jc w:val="center"/>
      </w:pPr>
    </w:p>
    <w:p w14:paraId="63A3F8C5" w14:textId="43B5C355" w:rsidR="00F80130" w:rsidRDefault="00F80130" w:rsidP="00F80130">
      <w:pPr>
        <w:spacing w:line="480" w:lineRule="auto"/>
      </w:pPr>
      <w:r>
        <w:tab/>
      </w:r>
      <w:r w:rsidR="00F506A4" w:rsidRPr="00F506A4">
        <w:t xml:space="preserve">This analysis compares three distinct mutual funds focused on pharmaceuticals, gold, and blue-chip growth sectors. The objective is to evaluate their historical annual return performance and overall risk levels. By examining key descriptive statistics over a 10-year period, the analysis aims to identify differences in volatility, consistency, and return potential across the three fund categories. </w:t>
      </w:r>
    </w:p>
    <w:tbl>
      <w:tblPr>
        <w:tblpPr w:leftFromText="180" w:rightFromText="180" w:vertAnchor="text" w:horzAnchor="margin" w:tblpY="1076"/>
        <w:tblW w:w="9360" w:type="dxa"/>
        <w:tblLook w:val="04A0" w:firstRow="1" w:lastRow="0" w:firstColumn="1" w:lastColumn="0" w:noHBand="0" w:noVBand="1"/>
      </w:tblPr>
      <w:tblGrid>
        <w:gridCol w:w="1879"/>
        <w:gridCol w:w="1241"/>
        <w:gridCol w:w="1879"/>
        <w:gridCol w:w="1241"/>
        <w:gridCol w:w="1879"/>
        <w:gridCol w:w="1241"/>
      </w:tblGrid>
      <w:tr w:rsidR="00117234" w:rsidRPr="00117234" w14:paraId="2D8A5DFE" w14:textId="77777777" w:rsidTr="00117234">
        <w:trPr>
          <w:trHeight w:val="300"/>
        </w:trPr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05E57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Pharmaceuticals Portfolio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FEADF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Gold Portfolio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260DA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Blue Chip Growth</w:t>
            </w:r>
          </w:p>
        </w:tc>
      </w:tr>
      <w:tr w:rsidR="00117234" w:rsidRPr="00117234" w14:paraId="3136BF60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819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38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C9B7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555D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923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A79C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7234" w:rsidRPr="00117234" w14:paraId="529C7C2A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861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D6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11.974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97F3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2CD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-1.078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9BE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D37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17.936</w:t>
            </w:r>
          </w:p>
        </w:tc>
      </w:tr>
      <w:tr w:rsidR="00117234" w:rsidRPr="00117234" w14:paraId="52940E10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269B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FD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5.43347141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A5D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CB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9.64117937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AB7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E4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8.76390441</w:t>
            </w:r>
          </w:p>
        </w:tc>
      </w:tr>
      <w:tr w:rsidR="00117234" w:rsidRPr="00117234" w14:paraId="2433DEFA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5A3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117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10.88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535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7C3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-9.47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E8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D5E8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18.655</w:t>
            </w:r>
          </w:p>
        </w:tc>
      </w:tr>
      <w:tr w:rsidR="00117234" w:rsidRPr="00117234" w14:paraId="1B29E3F1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F16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4C1E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83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26B5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9D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2002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</w:tr>
      <w:tr w:rsidR="00117234" w:rsidRPr="00117234" w14:paraId="653CA02E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47B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6BB" w14:textId="28F33FE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17.182145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9DC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DAEC" w14:textId="16E78DB6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30.488086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8FEF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BEF" w14:textId="39AF2AFD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27.713899</w:t>
            </w:r>
          </w:p>
        </w:tc>
      </w:tr>
      <w:tr w:rsidR="00117234" w:rsidRPr="00117234" w14:paraId="54BD4BEF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52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B1D8" w14:textId="77EF0DD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295.22611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D8F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997" w14:textId="4C343E35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929.52339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7B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437F" w14:textId="0B434ED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768.06020</w:t>
            </w:r>
          </w:p>
        </w:tc>
      </w:tr>
      <w:tr w:rsidR="00117234" w:rsidRPr="00117234" w14:paraId="6AD535A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DFC5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17F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-0.0214368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BC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413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-0.5717294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4BA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9A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1.0372561</w:t>
            </w:r>
          </w:p>
        </w:tc>
      </w:tr>
      <w:tr w:rsidR="00117234" w:rsidRPr="00117234" w14:paraId="6DBFD503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7BE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E0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0.09248926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8DF3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B19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0.14921825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DF1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5AC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-0.5412599</w:t>
            </w:r>
          </w:p>
        </w:tc>
      </w:tr>
      <w:tr w:rsidR="00117234" w:rsidRPr="00117234" w14:paraId="2F571A4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BCB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9BA8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57.63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4F4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91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98.69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359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8F1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100.69</w:t>
            </w:r>
          </w:p>
        </w:tc>
      </w:tr>
      <w:tr w:rsidR="00117234" w:rsidRPr="00117234" w14:paraId="4B8EE5A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38B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8D6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-16.27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987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EF7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-51.41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0BB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7C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-38.46</w:t>
            </w:r>
          </w:p>
        </w:tc>
      </w:tr>
      <w:tr w:rsidR="00117234" w:rsidRPr="00117234" w14:paraId="7D7517E7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6BB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5E3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41.36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4A4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5745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47.28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D01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4DB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62.23</w:t>
            </w:r>
          </w:p>
        </w:tc>
      </w:tr>
      <w:tr w:rsidR="00117234" w:rsidRPr="00117234" w14:paraId="63E35F94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027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BC5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119.74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BD8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A8D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-10.78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5322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060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179.36</w:t>
            </w:r>
          </w:p>
        </w:tc>
      </w:tr>
      <w:tr w:rsidR="00117234" w:rsidRPr="00117234" w14:paraId="4E2F27FF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9D5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DA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383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B5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67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11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117234" w:rsidRPr="00117234" w14:paraId="61CB4E64" w14:textId="77777777" w:rsidTr="00117234">
        <w:trPr>
          <w:trHeight w:val="320"/>
        </w:trPr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E3FE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6215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12.2913663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B93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047F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21.809863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50E5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504F0" w14:textId="165141C6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19.825329</w:t>
            </w:r>
          </w:p>
        </w:tc>
      </w:tr>
      <w:tr w:rsidR="00117234" w:rsidRPr="00117234" w14:paraId="63116F5E" w14:textId="77777777" w:rsidTr="00117234">
        <w:trPr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B3F0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9EB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B3615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6A38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CABC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7493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</w:tr>
      <w:tr w:rsidR="00117234" w:rsidRPr="00117234" w14:paraId="0FC1F28E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A4A8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-0.3173663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B0885" w14:textId="4B18FE5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24.265366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2B57B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-22.887863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8D70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20.731863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DC28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-1.8893291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C2AC8" w14:textId="03395FB3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37.761329</w:t>
            </w:r>
          </w:p>
        </w:tc>
      </w:tr>
    </w:tbl>
    <w:p w14:paraId="1FBDE7BF" w14:textId="708C35FA" w:rsidR="00F80130" w:rsidRDefault="00F80130" w:rsidP="00F80130">
      <w:pPr>
        <w:spacing w:line="480" w:lineRule="auto"/>
      </w:pPr>
      <w:r>
        <w:tab/>
      </w:r>
      <w:r w:rsidR="00F506A4" w:rsidRPr="00F506A4">
        <w:t>Ten years of annual return data were analyzed for each mutual fund. The following tables highlight important performance statistics.</w:t>
      </w:r>
    </w:p>
    <w:p w14:paraId="3D6BC6F2" w14:textId="77777777" w:rsidR="00117234" w:rsidRDefault="00F80130" w:rsidP="00F80130">
      <w:pPr>
        <w:spacing w:line="480" w:lineRule="auto"/>
      </w:pPr>
      <w:r>
        <w:t xml:space="preserve"> </w:t>
      </w:r>
    </w:p>
    <w:p w14:paraId="266154AA" w14:textId="6A43E262" w:rsidR="000B099C" w:rsidRDefault="00F73A33" w:rsidP="00F506A4">
      <w:pPr>
        <w:spacing w:line="480" w:lineRule="auto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5EDF05D" wp14:editId="49618F01">
                <wp:extent cx="5807947" cy="3110230"/>
                <wp:effectExtent l="0" t="0" r="8890" b="1270"/>
                <wp:docPr id="203241676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B964B4-14EC-A646-BE32-A002E224A9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5EDF05D" wp14:editId="49618F01">
                <wp:extent cx="5807947" cy="3110230"/>
                <wp:effectExtent l="0" t="0" r="8890" b="1270"/>
                <wp:docPr id="203241676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B964B4-14EC-A646-BE32-A002E224A9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416762" name="Chart 1">
                          <a:extLst>
                            <a:ext uri="{FF2B5EF4-FFF2-40B4-BE49-F238E27FC236}">
                              <a16:creationId xmlns:a16="http://schemas.microsoft.com/office/drawing/2014/main" id="{4DB964B4-14EC-A646-BE32-A002E224A9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710" cy="311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65DE1C9" w14:textId="77777777" w:rsidR="00F73A33" w:rsidRDefault="00F73A33" w:rsidP="00F506A4">
      <w:pPr>
        <w:spacing w:line="480" w:lineRule="auto"/>
      </w:pPr>
    </w:p>
    <w:p w14:paraId="769EA534" w14:textId="5D6B2A7C" w:rsidR="00F506A4" w:rsidRDefault="00F506A4" w:rsidP="00F506A4">
      <w:pPr>
        <w:spacing w:line="480" w:lineRule="auto"/>
        <w:ind w:firstLine="720"/>
      </w:pPr>
      <w:r>
        <w:t xml:space="preserve">The Gold Portfolio exhibits the highest standard deviation (30.488%), indicating greater volatility compared to the </w:t>
      </w:r>
      <w:proofErr w:type="gramStart"/>
      <w:r>
        <w:t>Blue Chip</w:t>
      </w:r>
      <w:proofErr w:type="gramEnd"/>
      <w:r>
        <w:t xml:space="preserve"> Growth (27.714%) and Pharmaceuticals (17.182%) portfolios. It also has the smallest upper confidence limit (20.732) and the widest range of potential outcomes, with a lower limit of -22.888 and a minimum return of -51.41%. These figures suggest a higher degree of uncertainty and risk, making it the least favorable option for risk-averse investors in this analysis.</w:t>
      </w:r>
    </w:p>
    <w:p w14:paraId="611E848F" w14:textId="7349B95A" w:rsidR="00F506A4" w:rsidRDefault="00F506A4" w:rsidP="00F506A4">
      <w:pPr>
        <w:spacing w:line="480" w:lineRule="auto"/>
        <w:ind w:firstLine="720"/>
      </w:pPr>
      <w:r>
        <w:t xml:space="preserve">The Pharmaceuticals Portfolio delivers an average annual return of 11.974%, falling between the Gold and </w:t>
      </w:r>
      <w:proofErr w:type="gramStart"/>
      <w:r>
        <w:t>Blue Chip</w:t>
      </w:r>
      <w:proofErr w:type="gramEnd"/>
      <w:r>
        <w:t xml:space="preserve"> Growth portfolios. Its median return of 10.88% reinforces this middle-ground position. Notably, it has the lowest standard deviation, suggesting more stable performance over time. With a narrower range of returns (minimum of -16.27%, maximum of 41.36%), this fund may appeal to those seeking moderate returns with lower volatility.</w:t>
      </w:r>
    </w:p>
    <w:p w14:paraId="6AD048C0" w14:textId="77777777" w:rsidR="00F506A4" w:rsidRDefault="00F506A4" w:rsidP="00F506A4">
      <w:pPr>
        <w:spacing w:line="480" w:lineRule="auto"/>
        <w:ind w:firstLine="720"/>
      </w:pPr>
      <w:r>
        <w:lastRenderedPageBreak/>
        <w:t xml:space="preserve">The </w:t>
      </w:r>
      <w:proofErr w:type="gramStart"/>
      <w:r>
        <w:t>Blue Chip</w:t>
      </w:r>
      <w:proofErr w:type="gramEnd"/>
      <w:r>
        <w:t xml:space="preserve"> Growth Portfolio shows the highest average (17.936%) and median (18.655%) returns over the 10-year period. While its standard deviation (27.714%) indicates some volatility, it is lower than that of the Gold Portfolio. This combination of high returns and moderate risk suggests that the </w:t>
      </w:r>
      <w:proofErr w:type="gramStart"/>
      <w:r>
        <w:t>Blue Chip</w:t>
      </w:r>
      <w:proofErr w:type="gramEnd"/>
      <w:r>
        <w:t xml:space="preserve"> Growth option may be the most attractive in terms of return potential, based on this historical data.</w:t>
      </w:r>
    </w:p>
    <w:p w14:paraId="5383CFAE" w14:textId="77777777" w:rsidR="00F506A4" w:rsidRDefault="00F506A4" w:rsidP="00F506A4">
      <w:pPr>
        <w:spacing w:line="480" w:lineRule="auto"/>
        <w:ind w:firstLine="720"/>
      </w:pPr>
    </w:p>
    <w:p w14:paraId="1438E10C" w14:textId="02C32FA4" w:rsidR="00F506A4" w:rsidRPr="00F506A4" w:rsidRDefault="00F506A4" w:rsidP="00F506A4">
      <w:pPr>
        <w:spacing w:line="480" w:lineRule="auto"/>
        <w:jc w:val="center"/>
        <w:rPr>
          <w:i/>
          <w:iCs/>
          <w:sz w:val="22"/>
          <w:szCs w:val="22"/>
        </w:rPr>
      </w:pPr>
      <w:r w:rsidRPr="00F506A4">
        <w:rPr>
          <w:i/>
          <w:iCs/>
          <w:sz w:val="22"/>
          <w:szCs w:val="22"/>
        </w:rPr>
        <w:t>This analysis is presented for educational purposes only and does not represent financial advice.</w:t>
      </w:r>
    </w:p>
    <w:sectPr w:rsidR="00F506A4" w:rsidRPr="00F5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0"/>
    <w:rsid w:val="000B099C"/>
    <w:rsid w:val="00117234"/>
    <w:rsid w:val="00127063"/>
    <w:rsid w:val="00670D83"/>
    <w:rsid w:val="00F506A4"/>
    <w:rsid w:val="00F73A33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257"/>
  <w15:chartTrackingRefBased/>
  <w15:docId w15:val="{D3637615-4885-2141-A538-ABF69834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6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4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ydneylong/Downloads/MAT312%20Excel%20Lab%203%20data_updated%20Fall%202022%20(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'Mutual Fund Data'!$B$5:$B$14</cx:f>
        <cx:lvl ptCount="10" formatCode="0.00">
          <cx:pt idx="0">41.359999999999999</cx:pt>
          <cx:pt idx="1">23.82</cx:pt>
          <cx:pt idx="2">8.1899999999999995</cx:pt>
          <cx:pt idx="3">-16.27</cx:pt>
          <cx:pt idx="4">10.69</cx:pt>
          <cx:pt idx="5">5.8099999999999996</cx:pt>
          <cx:pt idx="6">31.629999999999999</cx:pt>
          <cx:pt idx="7">11.07</cx:pt>
          <cx:pt idx="8">11.82</cx:pt>
          <cx:pt idx="9">-8.3800000000000008</cx:pt>
        </cx:lvl>
      </cx:numDim>
    </cx:data>
    <cx:data id="1">
      <cx:numDim type="val">
        <cx:f>'Mutual Fund Data'!$C$5:$C$14</cx:f>
        <cx:lvl ptCount="10" formatCode="0.00">
          <cx:pt idx="0">-51.409999999999997</cx:pt>
          <cx:pt idx="1">-8.5099999999999998</cx:pt>
          <cx:pt idx="2">-17.879999999999999</cx:pt>
          <cx:pt idx="3">47.280000000000001</cx:pt>
          <cx:pt idx="4">8.6300000000000008</cx:pt>
          <cx:pt idx="5">-13</cx:pt>
          <cx:pt idx="6">35.5</cx:pt>
          <cx:pt idx="7">26.850000000000001</cx:pt>
          <cx:pt idx="8">-10.43</cx:pt>
          <cx:pt idx="9">-27.809999999999999</cx:pt>
        </cx:lvl>
      </cx:numDim>
    </cx:data>
    <cx:data id="2">
      <cx:numDim type="val">
        <cx:f>'Mutual Fund Data'!$D$5:$D$14</cx:f>
        <cx:lvl ptCount="10" formatCode="General">
          <cx:pt idx="0">39.840000000000003</cx:pt>
          <cx:pt idx="1">14.6</cx:pt>
          <cx:pt idx="2">6.2800000000000002</cx:pt>
          <cx:pt idx="3">1.5900000000000001</cx:pt>
          <cx:pt idx="4">36.060000000000002</cx:pt>
          <cx:pt idx="5">1.0700000000000001</cx:pt>
          <cx:pt idx="6">33.439999999999998</cx:pt>
          <cx:pt idx="7">62.229999999999997</cx:pt>
          <cx:pt idx="8">22.710000000000001</cx:pt>
          <cx:pt idx="9">-38.460000000000001</cx:pt>
        </cx:lvl>
      </cx:numDim>
    </cx:data>
  </cx:chartData>
  <cx:chart>
    <cx:title pos="t" align="ctr" overlay="0">
      <cx:tx>
        <cx:txData>
          <cx:v>Pharmaceuticals, Gold, &amp; Blue Chip Growth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Pharmaceuticals, Gold, &amp; Blue Chip Growth</a:t>
          </a:r>
        </a:p>
      </cx:txPr>
    </cx:title>
    <cx:plotArea>
      <cx:plotAreaRegion>
        <cx:series layoutId="boxWhisker" uniqueId="{D6BE8CD3-C0C9-0642-89B4-28F9002056D8}">
          <cx:dataLabels pos="r"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DCBCC680-D744-BF47-AD07-D8E1B8E86F57}">
          <cx:dataLabels pos="r">
            <cx:visibility seriesName="0" categoryName="0" value="1"/>
          </cx:dataLabels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83A4AA2B-9CE6-0149-AE73-ED23386FF3A0}">
          <cx:dataLabels pos="r">
            <cx:visibility seriesName="0" categoryName="0" value="1"/>
          </cx:dataLabels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tle>
          <cx:tx>
            <cx:txData>
              <cx:v>Returns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Returns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Long</dc:creator>
  <cp:keywords/>
  <dc:description/>
  <cp:lastModifiedBy>Long, Sydney (Student)</cp:lastModifiedBy>
  <cp:revision>3</cp:revision>
  <dcterms:created xsi:type="dcterms:W3CDTF">2023-10-06T19:14:00Z</dcterms:created>
  <dcterms:modified xsi:type="dcterms:W3CDTF">2025-06-17T20:31:00Z</dcterms:modified>
</cp:coreProperties>
</file>