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charts/chart1.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F795D" w14:textId="4CBE19BE" w:rsidR="000C2177" w:rsidRDefault="000C2177" w:rsidP="000C2177">
      <w:pPr>
        <w:jc w:val="center"/>
      </w:pPr>
      <w:r>
        <w:t>Report – Comparing Annual Returns</w:t>
      </w:r>
    </w:p>
    <w:p w14:paraId="5BF69C40" w14:textId="614F6943" w:rsidR="000C2177" w:rsidRDefault="000C2177" w:rsidP="000C2177">
      <w:pPr>
        <w:jc w:val="center"/>
      </w:pPr>
      <w:r>
        <w:t>Sydney Long</w:t>
      </w:r>
    </w:p>
    <w:p w14:paraId="59D79DF8" w14:textId="77777777" w:rsidR="000C2177" w:rsidRDefault="000C2177" w:rsidP="000C2177">
      <w:pPr>
        <w:jc w:val="center"/>
      </w:pPr>
    </w:p>
    <w:p w14:paraId="3FD413A7" w14:textId="77777777" w:rsidR="000C2177" w:rsidRDefault="000C2177" w:rsidP="000C2177"/>
    <w:p w14:paraId="4266ADB1" w14:textId="7822487F" w:rsidR="000C2177" w:rsidRDefault="000C2177" w:rsidP="000C2177">
      <w:pPr>
        <w:ind w:firstLine="720"/>
      </w:pPr>
      <w:r>
        <w:t xml:space="preserve">Two high growth industries have been observed for their reward and risk on investment. I have compared the </w:t>
      </w:r>
      <w:r w:rsidRPr="000C2177">
        <w:t>Fidelity Technology Portfolio</w:t>
      </w:r>
      <w:r>
        <w:t xml:space="preserve"> and </w:t>
      </w:r>
      <w:r w:rsidRPr="000C2177">
        <w:t>Fidelity Health Care Services</w:t>
      </w:r>
      <w:r>
        <w:t xml:space="preserve"> industries to determine their appropriateness on client investment. The hypothesis test statistics are shown below. </w:t>
      </w:r>
    </w:p>
    <w:p w14:paraId="687F64C5" w14:textId="4B90C072" w:rsidR="000C2177" w:rsidRDefault="000C2177" w:rsidP="000C2177">
      <w:pPr>
        <w:ind w:firstLine="720"/>
      </w:pPr>
      <w:r>
        <w:rPr>
          <w:noProof/>
        </w:rPr>
        <mc:AlternateContent>
          <mc:Choice Requires="cx1">
            <w:drawing>
              <wp:inline distT="0" distB="0" distL="0" distR="0" wp14:anchorId="4FECB2F5" wp14:editId="0DB2D78A">
                <wp:extent cx="5181232" cy="2985237"/>
                <wp:effectExtent l="0" t="0" r="635" b="12065"/>
                <wp:docPr id="680607384" name="Chart 1">
                  <a:extLst xmlns:a="http://schemas.openxmlformats.org/drawingml/2006/main">
                    <a:ext uri="{FF2B5EF4-FFF2-40B4-BE49-F238E27FC236}">
                      <a16:creationId xmlns:a16="http://schemas.microsoft.com/office/drawing/2014/main" id="{6D72E852-DF2D-C667-BB97-E39AA9E35A1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
                  </a:graphicData>
                </a:graphic>
              </wp:inline>
            </w:drawing>
          </mc:Choice>
          <mc:Fallback>
            <w:drawing>
              <wp:inline distT="0" distB="0" distL="0" distR="0" wp14:anchorId="4FECB2F5" wp14:editId="0DB2D78A">
                <wp:extent cx="5181232" cy="2985237"/>
                <wp:effectExtent l="0" t="0" r="635" b="12065"/>
                <wp:docPr id="680607384" name="Chart 1">
                  <a:extLst xmlns:a="http://schemas.openxmlformats.org/drawingml/2006/main">
                    <a:ext uri="{FF2B5EF4-FFF2-40B4-BE49-F238E27FC236}">
                      <a16:creationId xmlns:a16="http://schemas.microsoft.com/office/drawing/2014/main" id="{6D72E852-DF2D-C667-BB97-E39AA9E35A1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80607384" name="Chart 1">
                          <a:extLst>
                            <a:ext uri="{FF2B5EF4-FFF2-40B4-BE49-F238E27FC236}">
                              <a16:creationId xmlns:a16="http://schemas.microsoft.com/office/drawing/2014/main" id="{6D72E852-DF2D-C667-BB97-E39AA9E35A10}"/>
                            </a:ext>
                          </a:extLst>
                        </pic:cNvPr>
                        <pic:cNvPicPr>
                          <a:picLocks noGrp="1" noRot="1" noChangeAspect="1" noMove="1" noResize="1" noEditPoints="1" noAdjustHandles="1" noChangeArrowheads="1" noChangeShapeType="1"/>
                        </pic:cNvPicPr>
                      </pic:nvPicPr>
                      <pic:blipFill>
                        <a:blip r:embed="rId5"/>
                        <a:stretch>
                          <a:fillRect/>
                        </a:stretch>
                      </pic:blipFill>
                      <pic:spPr>
                        <a:xfrm>
                          <a:off x="0" y="0"/>
                          <a:ext cx="5180965" cy="2985135"/>
                        </a:xfrm>
                        <a:prstGeom prst="rect">
                          <a:avLst/>
                        </a:prstGeom>
                      </pic:spPr>
                    </pic:pic>
                  </a:graphicData>
                </a:graphic>
              </wp:inline>
            </w:drawing>
          </mc:Fallback>
        </mc:AlternateContent>
      </w:r>
    </w:p>
    <w:p w14:paraId="0506D3CB" w14:textId="77777777" w:rsidR="000C2177" w:rsidRDefault="000C2177" w:rsidP="000C2177">
      <w:pPr>
        <w:ind w:firstLine="720"/>
      </w:pPr>
    </w:p>
    <w:p w14:paraId="1121C9CE" w14:textId="3E14FFA6" w:rsidR="000C2177" w:rsidRDefault="000C2177" w:rsidP="000C2177">
      <w:pPr>
        <w:ind w:firstLine="720"/>
      </w:pPr>
      <w:r>
        <w:t xml:space="preserve">When reviewing this hypothesis test it is apparent that the observe value (1.89) is less than the critical value (2.36). This would mean that we fail to reject the null hypothesis. Also, the p value is also less than the alpha value indicating that these results are statistically significant. I have also observed the range of these two variables by using the following box and whisker plots below. </w:t>
      </w:r>
    </w:p>
    <w:p w14:paraId="58BCF127" w14:textId="1A23EEB0" w:rsidR="000C2177" w:rsidRDefault="000C2177" w:rsidP="000C2177">
      <w:r>
        <w:rPr>
          <w:noProof/>
        </w:rPr>
        <mc:AlternateContent>
          <mc:Choice Requires="cx1">
            <w:drawing>
              <wp:anchor distT="0" distB="0" distL="114300" distR="114300" simplePos="0" relativeHeight="251658240" behindDoc="0" locked="0" layoutInCell="1" allowOverlap="1" wp14:anchorId="630876C8" wp14:editId="2B080C2C">
                <wp:simplePos x="0" y="0"/>
                <wp:positionH relativeFrom="column">
                  <wp:posOffset>2941608</wp:posOffset>
                </wp:positionH>
                <wp:positionV relativeFrom="paragraph">
                  <wp:posOffset>87738</wp:posOffset>
                </wp:positionV>
                <wp:extent cx="2769079" cy="1897811"/>
                <wp:effectExtent l="0" t="0" r="0" b="7620"/>
                <wp:wrapNone/>
                <wp:docPr id="110105209" name="Chart 1">
                  <a:extLst xmlns:a="http://schemas.openxmlformats.org/drawingml/2006/main">
                    <a:ext uri="{FF2B5EF4-FFF2-40B4-BE49-F238E27FC236}">
                      <a16:creationId xmlns:a16="http://schemas.microsoft.com/office/drawing/2014/main" id="{E957AB81-9435-B2CE-25C9-1221C44082D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14:sizeRelH relativeFrom="page">
                  <wp14:pctWidth>0</wp14:pctWidth>
                </wp14:sizeRelH>
                <wp14:sizeRelV relativeFrom="page">
                  <wp14:pctHeight>0</wp14:pctHeight>
                </wp14:sizeRelV>
              </wp:anchor>
            </w:drawing>
          </mc:Choice>
          <mc:Fallback>
            <w:drawing>
              <wp:anchor distT="0" distB="0" distL="114300" distR="114300" simplePos="0" relativeHeight="251658240" behindDoc="0" locked="0" layoutInCell="1" allowOverlap="1" wp14:anchorId="630876C8" wp14:editId="2B080C2C">
                <wp:simplePos x="0" y="0"/>
                <wp:positionH relativeFrom="column">
                  <wp:posOffset>2941608</wp:posOffset>
                </wp:positionH>
                <wp:positionV relativeFrom="paragraph">
                  <wp:posOffset>87738</wp:posOffset>
                </wp:positionV>
                <wp:extent cx="2769079" cy="1897811"/>
                <wp:effectExtent l="0" t="0" r="0" b="7620"/>
                <wp:wrapNone/>
                <wp:docPr id="110105209" name="Chart 1">
                  <a:extLst xmlns:a="http://schemas.openxmlformats.org/drawingml/2006/main">
                    <a:ext uri="{FF2B5EF4-FFF2-40B4-BE49-F238E27FC236}">
                      <a16:creationId xmlns:a16="http://schemas.microsoft.com/office/drawing/2014/main" id="{E957AB81-9435-B2CE-25C9-1221C44082D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0105209" name="Chart 1">
                          <a:extLst>
                            <a:ext uri="{FF2B5EF4-FFF2-40B4-BE49-F238E27FC236}">
                              <a16:creationId xmlns:a16="http://schemas.microsoft.com/office/drawing/2014/main" id="{E957AB81-9435-B2CE-25C9-1221C44082D0}"/>
                            </a:ext>
                          </a:extLst>
                        </pic:cNvPr>
                        <pic:cNvPicPr>
                          <a:picLocks noGrp="1" noRot="1" noChangeAspect="1" noMove="1" noResize="1" noEditPoints="1" noAdjustHandles="1" noChangeArrowheads="1" noChangeShapeType="1"/>
                        </pic:cNvPicPr>
                      </pic:nvPicPr>
                      <pic:blipFill>
                        <a:blip r:embed="rId7"/>
                        <a:stretch>
                          <a:fillRect/>
                        </a:stretch>
                      </pic:blipFill>
                      <pic:spPr>
                        <a:xfrm>
                          <a:off x="0" y="0"/>
                          <a:ext cx="2768600" cy="1897380"/>
                        </a:xfrm>
                        <a:prstGeom prst="rect">
                          <a:avLst/>
                        </a:prstGeom>
                      </pic:spPr>
                    </pic:pic>
                  </a:graphicData>
                </a:graphic>
                <wp14:sizeRelH relativeFrom="page">
                  <wp14:pctWidth>0</wp14:pctWidth>
                </wp14:sizeRelH>
                <wp14:sizeRelV relativeFrom="page">
                  <wp14:pctHeight>0</wp14:pctHeight>
                </wp14:sizeRelV>
              </wp:anchor>
            </w:drawing>
          </mc:Fallback>
        </mc:AlternateContent>
      </w:r>
      <w:r>
        <w:rPr>
          <w:noProof/>
        </w:rPr>
        <mc:AlternateContent>
          <mc:Choice Requires="cx1">
            <w:drawing>
              <wp:anchor distT="0" distB="0" distL="114300" distR="114300" simplePos="0" relativeHeight="251659264" behindDoc="0" locked="0" layoutInCell="1" allowOverlap="1" wp14:anchorId="3A06C6EF" wp14:editId="436DAE09">
                <wp:simplePos x="0" y="0"/>
                <wp:positionH relativeFrom="column">
                  <wp:posOffset>77638</wp:posOffset>
                </wp:positionH>
                <wp:positionV relativeFrom="paragraph">
                  <wp:posOffset>79110</wp:posOffset>
                </wp:positionV>
                <wp:extent cx="2622430" cy="1889185"/>
                <wp:effectExtent l="0" t="0" r="6985" b="3175"/>
                <wp:wrapNone/>
                <wp:docPr id="402983022" name="Chart 1">
                  <a:extLst xmlns:a="http://schemas.openxmlformats.org/drawingml/2006/main">
                    <a:ext uri="{FF2B5EF4-FFF2-40B4-BE49-F238E27FC236}">
                      <a16:creationId xmlns:a16="http://schemas.microsoft.com/office/drawing/2014/main" id="{35A0FA7E-E6C8-993F-46D6-5CA53DB598B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14:sizeRelH relativeFrom="page">
                  <wp14:pctWidth>0</wp14:pctWidth>
                </wp14:sizeRelH>
                <wp14:sizeRelV relativeFrom="page">
                  <wp14:pctHeight>0</wp14:pctHeight>
                </wp14:sizeRelV>
              </wp:anchor>
            </w:drawing>
          </mc:Choice>
          <mc:Fallback>
            <w:drawing>
              <wp:anchor distT="0" distB="0" distL="114300" distR="114300" simplePos="0" relativeHeight="251659264" behindDoc="0" locked="0" layoutInCell="1" allowOverlap="1" wp14:anchorId="3A06C6EF" wp14:editId="436DAE09">
                <wp:simplePos x="0" y="0"/>
                <wp:positionH relativeFrom="column">
                  <wp:posOffset>77638</wp:posOffset>
                </wp:positionH>
                <wp:positionV relativeFrom="paragraph">
                  <wp:posOffset>79110</wp:posOffset>
                </wp:positionV>
                <wp:extent cx="2622430" cy="1889185"/>
                <wp:effectExtent l="0" t="0" r="6985" b="3175"/>
                <wp:wrapNone/>
                <wp:docPr id="402983022" name="Chart 1">
                  <a:extLst xmlns:a="http://schemas.openxmlformats.org/drawingml/2006/main">
                    <a:ext uri="{FF2B5EF4-FFF2-40B4-BE49-F238E27FC236}">
                      <a16:creationId xmlns:a16="http://schemas.microsoft.com/office/drawing/2014/main" id="{35A0FA7E-E6C8-993F-46D6-5CA53DB598B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02983022" name="Chart 1">
                          <a:extLst>
                            <a:ext uri="{FF2B5EF4-FFF2-40B4-BE49-F238E27FC236}">
                              <a16:creationId xmlns:a16="http://schemas.microsoft.com/office/drawing/2014/main" id="{35A0FA7E-E6C8-993F-46D6-5CA53DB598B6}"/>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2621915" cy="1889125"/>
                        </a:xfrm>
                        <a:prstGeom prst="rect">
                          <a:avLst/>
                        </a:prstGeom>
                      </pic:spPr>
                    </pic:pic>
                  </a:graphicData>
                </a:graphic>
                <wp14:sizeRelH relativeFrom="page">
                  <wp14:pctWidth>0</wp14:pctWidth>
                </wp14:sizeRelH>
                <wp14:sizeRelV relativeFrom="page">
                  <wp14:pctHeight>0</wp14:pctHeight>
                </wp14:sizeRelV>
              </wp:anchor>
            </w:drawing>
          </mc:Fallback>
        </mc:AlternateContent>
      </w:r>
    </w:p>
    <w:p w14:paraId="33B49CEE" w14:textId="4A54C08F" w:rsidR="000C2177" w:rsidRDefault="000C2177" w:rsidP="000C2177"/>
    <w:p w14:paraId="018A5FD3" w14:textId="20C0A4C2" w:rsidR="000C2177" w:rsidRDefault="000C2177" w:rsidP="000C2177"/>
    <w:p w14:paraId="4BA97579" w14:textId="55D3B116" w:rsidR="000C2177" w:rsidRDefault="000C2177" w:rsidP="000C2177"/>
    <w:p w14:paraId="5E90AF12" w14:textId="586B7C4D" w:rsidR="000C2177" w:rsidRDefault="000C2177" w:rsidP="000C2177"/>
    <w:p w14:paraId="614CD2C9" w14:textId="3EB7DEF0" w:rsidR="000C2177" w:rsidRDefault="000C2177" w:rsidP="000C2177"/>
    <w:p w14:paraId="294491EF" w14:textId="1A791766" w:rsidR="000C2177" w:rsidRDefault="000C2177" w:rsidP="000C2177"/>
    <w:p w14:paraId="6871B7C2" w14:textId="231C4D89" w:rsidR="000C2177" w:rsidRDefault="000C2177" w:rsidP="000C2177"/>
    <w:p w14:paraId="32F2C6C0" w14:textId="0C65E58F" w:rsidR="000C2177" w:rsidRDefault="000C2177" w:rsidP="000C2177"/>
    <w:p w14:paraId="1D45EFED" w14:textId="148F829D" w:rsidR="000C2177" w:rsidRDefault="000C2177" w:rsidP="000C2177"/>
    <w:p w14:paraId="46B3897D" w14:textId="77777777" w:rsidR="000C2177" w:rsidRDefault="000C2177" w:rsidP="000C2177"/>
    <w:p w14:paraId="20F511F0" w14:textId="0D8A1C24" w:rsidR="000C2177" w:rsidRDefault="000C2177" w:rsidP="000C2177">
      <w:pPr>
        <w:ind w:firstLine="720"/>
      </w:pPr>
      <w:r>
        <w:t xml:space="preserve">The range for the technology portfolio industry is at 3.22. The range for healthcare services industry is at </w:t>
      </w:r>
      <w:r w:rsidRPr="000C2177">
        <w:t>27.85</w:t>
      </w:r>
      <w:r>
        <w:t xml:space="preserve">. Healthcare also poses an outlier of -16.83 which tracks due to the high positive kurtosis of 5.34. This tells us that the Health Care Services industry is much more </w:t>
      </w:r>
      <w:r>
        <w:lastRenderedPageBreak/>
        <w:t xml:space="preserve">volatile and has a wider range of returns. Health Care Services has a higher standard deviation of 8.42 with Technology Portfolio sitting much lower at 1.26. This also indicates that there is more risk involved when investing in health care services than Technology portfolio. </w:t>
      </w:r>
    </w:p>
    <w:p w14:paraId="15E9A25A" w14:textId="1734A8BE" w:rsidR="000C2177" w:rsidRDefault="000C2177" w:rsidP="000C2177">
      <w:pPr>
        <w:ind w:firstLine="720"/>
      </w:pPr>
    </w:p>
    <w:p w14:paraId="6A13B9DD" w14:textId="5A3A2D28" w:rsidR="000C2177" w:rsidRDefault="000C2177" w:rsidP="000C2177">
      <w:pPr>
        <w:ind w:firstLine="720"/>
      </w:pPr>
      <w:r>
        <w:rPr>
          <w:noProof/>
        </w:rPr>
        <w:drawing>
          <wp:anchor distT="0" distB="0" distL="114300" distR="114300" simplePos="0" relativeHeight="251660288" behindDoc="0" locked="0" layoutInCell="1" allowOverlap="1" wp14:anchorId="0B64700E" wp14:editId="254019E7">
            <wp:simplePos x="0" y="0"/>
            <wp:positionH relativeFrom="column">
              <wp:posOffset>1026112</wp:posOffset>
            </wp:positionH>
            <wp:positionV relativeFrom="paragraph">
              <wp:posOffset>57653</wp:posOffset>
            </wp:positionV>
            <wp:extent cx="3648974" cy="1863306"/>
            <wp:effectExtent l="0" t="0" r="8890" b="16510"/>
            <wp:wrapNone/>
            <wp:docPr id="1407853409" name="Chart 1">
              <a:extLst xmlns:a="http://schemas.openxmlformats.org/drawingml/2006/main">
                <a:ext uri="{FF2B5EF4-FFF2-40B4-BE49-F238E27FC236}">
                  <a16:creationId xmlns:a16="http://schemas.microsoft.com/office/drawing/2014/main" id="{9B2AFCD2-3F0C-5C1E-5C22-79A79DCF27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31466C87" w14:textId="54795EF2" w:rsidR="000C2177" w:rsidRDefault="000C2177" w:rsidP="000C2177">
      <w:pPr>
        <w:ind w:firstLine="720"/>
      </w:pPr>
    </w:p>
    <w:p w14:paraId="2F87562D" w14:textId="77777777" w:rsidR="000C2177" w:rsidRDefault="000C2177" w:rsidP="000C2177">
      <w:pPr>
        <w:ind w:firstLine="720"/>
      </w:pPr>
    </w:p>
    <w:p w14:paraId="55BAB0FA" w14:textId="77777777" w:rsidR="000C2177" w:rsidRDefault="000C2177" w:rsidP="000C2177">
      <w:pPr>
        <w:ind w:firstLine="720"/>
      </w:pPr>
    </w:p>
    <w:p w14:paraId="687AFD6F" w14:textId="77777777" w:rsidR="000C2177" w:rsidRDefault="000C2177" w:rsidP="000C2177">
      <w:pPr>
        <w:ind w:firstLine="720"/>
      </w:pPr>
    </w:p>
    <w:p w14:paraId="714AE2BB" w14:textId="77777777" w:rsidR="000C2177" w:rsidRDefault="000C2177" w:rsidP="000C2177">
      <w:pPr>
        <w:ind w:firstLine="720"/>
      </w:pPr>
    </w:p>
    <w:p w14:paraId="6B23A938" w14:textId="77777777" w:rsidR="000C2177" w:rsidRDefault="000C2177" w:rsidP="000C2177">
      <w:pPr>
        <w:ind w:firstLine="720"/>
      </w:pPr>
    </w:p>
    <w:p w14:paraId="23A72988" w14:textId="77777777" w:rsidR="000C2177" w:rsidRDefault="000C2177" w:rsidP="000C2177">
      <w:pPr>
        <w:ind w:firstLine="720"/>
      </w:pPr>
    </w:p>
    <w:p w14:paraId="6091E389" w14:textId="77777777" w:rsidR="000C2177" w:rsidRDefault="000C2177" w:rsidP="000C2177">
      <w:pPr>
        <w:ind w:firstLine="720"/>
      </w:pPr>
    </w:p>
    <w:p w14:paraId="50FD3120" w14:textId="77777777" w:rsidR="000C2177" w:rsidRDefault="000C2177" w:rsidP="000C2177">
      <w:pPr>
        <w:ind w:firstLine="720"/>
      </w:pPr>
    </w:p>
    <w:p w14:paraId="1604CE36" w14:textId="77777777" w:rsidR="000C2177" w:rsidRDefault="000C2177" w:rsidP="000C2177">
      <w:pPr>
        <w:ind w:firstLine="720"/>
      </w:pPr>
    </w:p>
    <w:p w14:paraId="1D1E4EB9" w14:textId="32E45DEF" w:rsidR="000C2177" w:rsidRDefault="000C2177" w:rsidP="000C2177">
      <w:pPr>
        <w:ind w:firstLine="720"/>
      </w:pPr>
    </w:p>
    <w:p w14:paraId="0BC0B247" w14:textId="664DA422" w:rsidR="000C2177" w:rsidRDefault="000C2177" w:rsidP="000C2177">
      <w:pPr>
        <w:ind w:firstLine="720"/>
      </w:pPr>
      <w:r>
        <w:t xml:space="preserve">The line plot above reiterates the volatility of the healthcare industry. While there is less risk with investing in the Technology Portfolio fund, it also has the potential to provide lower overall returns with its mean being 2.02. Healthcare services provides the potential to result in higher overall returns with its mean being 2.66. If the investor has a goal of assuming more risk with the opportunity to achieve higher returns, the healthcare industry would be a good option. If the investor is more conservative and would like to prioritize lower risk for possibly income generated from long term holding (dividends/interest) instead of investment gains, the technology industry may be a better option. </w:t>
      </w:r>
    </w:p>
    <w:p w14:paraId="6CCB719C" w14:textId="0055E3F5" w:rsidR="000C2177" w:rsidRDefault="000C2177" w:rsidP="000C2177">
      <w:pPr>
        <w:ind w:firstLine="720"/>
      </w:pPr>
    </w:p>
    <w:sectPr w:rsidR="000C2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177"/>
    <w:rsid w:val="000C2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50172"/>
  <w15:chartTrackingRefBased/>
  <w15:docId w15:val="{A556F99B-029E-144F-AE88-C6A4859F2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4/relationships/chartEx" Target="charts/chartEx2.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1.xml"/><Relationship Id="rId4" Type="http://schemas.microsoft.com/office/2014/relationships/chartEx" Target="charts/chartEx1.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Users/sydneylong/Downloads/MAT312%20Excel%20Lab%204_%20revised%20fall%202022.xlsx" TargetMode="External"/><Relationship Id="rId2" Type="http://schemas.microsoft.com/office/2011/relationships/chartColorStyle" Target="colors4.xml"/><Relationship Id="rId1" Type="http://schemas.microsoft.com/office/2011/relationships/chartStyle" Target="style4.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Users/sydneylong/Downloads/MAT312%20Excel%20Lab%204_%20revised%20fall%202022.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Users/sydneylong/Downloads/MAT312%20Excel%20Lab%204_%20revised%20fall%202022.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Users/sydneylong/Downloads/MAT312%20Excel%20Lab%204_%20revised%20fall%20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Technology</a:t>
            </a:r>
            <a:r>
              <a:rPr lang="en-US" baseline="0"/>
              <a:t> and Healthcare Samples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'Tech and Health Care data'!$A$40</c:f>
              <c:strCache>
                <c:ptCount val="1"/>
                <c:pt idx="0">
                  <c:v>Technology</c:v>
                </c:pt>
              </c:strCache>
            </c:strRef>
          </c:tx>
          <c:spPr>
            <a:ln w="28575" cap="rnd">
              <a:solidFill>
                <a:schemeClr val="accent1"/>
              </a:solidFill>
              <a:round/>
            </a:ln>
            <a:effectLst/>
          </c:spPr>
          <c:marker>
            <c:symbol val="none"/>
          </c:marker>
          <c:val>
            <c:numRef>
              <c:f>'Tech and Health Care data'!$A$41:$A$48</c:f>
              <c:numCache>
                <c:formatCode>General</c:formatCode>
                <c:ptCount val="8"/>
                <c:pt idx="0">
                  <c:v>2.15</c:v>
                </c:pt>
                <c:pt idx="1">
                  <c:v>3.12</c:v>
                </c:pt>
                <c:pt idx="2">
                  <c:v>0.95</c:v>
                </c:pt>
                <c:pt idx="3">
                  <c:v>3.91</c:v>
                </c:pt>
                <c:pt idx="4">
                  <c:v>0.69</c:v>
                </c:pt>
                <c:pt idx="5">
                  <c:v>3.23</c:v>
                </c:pt>
                <c:pt idx="6">
                  <c:v>1.08</c:v>
                </c:pt>
                <c:pt idx="7">
                  <c:v>0.98</c:v>
                </c:pt>
              </c:numCache>
            </c:numRef>
          </c:val>
          <c:smooth val="0"/>
          <c:extLst>
            <c:ext xmlns:c16="http://schemas.microsoft.com/office/drawing/2014/chart" uri="{C3380CC4-5D6E-409C-BE32-E72D297353CC}">
              <c16:uniqueId val="{00000000-838B-274F-ABD4-CABCF82FF58A}"/>
            </c:ext>
          </c:extLst>
        </c:ser>
        <c:ser>
          <c:idx val="1"/>
          <c:order val="1"/>
          <c:tx>
            <c:strRef>
              <c:f>'Tech and Health Care data'!$B$40</c:f>
              <c:strCache>
                <c:ptCount val="1"/>
                <c:pt idx="0">
                  <c:v>Healthcare</c:v>
                </c:pt>
              </c:strCache>
            </c:strRef>
          </c:tx>
          <c:spPr>
            <a:ln w="28575" cap="rnd">
              <a:solidFill>
                <a:schemeClr val="accent2"/>
              </a:solidFill>
              <a:round/>
            </a:ln>
            <a:effectLst/>
          </c:spPr>
          <c:marker>
            <c:symbol val="none"/>
          </c:marker>
          <c:val>
            <c:numRef>
              <c:f>'Tech and Health Care data'!$B$41:$B$48</c:f>
              <c:numCache>
                <c:formatCode>General</c:formatCode>
                <c:ptCount val="8"/>
                <c:pt idx="0">
                  <c:v>11.02</c:v>
                </c:pt>
                <c:pt idx="1">
                  <c:v>3.67</c:v>
                </c:pt>
                <c:pt idx="2">
                  <c:v>5.67</c:v>
                </c:pt>
                <c:pt idx="3">
                  <c:v>1.46</c:v>
                </c:pt>
                <c:pt idx="4">
                  <c:v>-16.829999999999998</c:v>
                </c:pt>
                <c:pt idx="5">
                  <c:v>4.78</c:v>
                </c:pt>
                <c:pt idx="6">
                  <c:v>3.37</c:v>
                </c:pt>
                <c:pt idx="7">
                  <c:v>8.19</c:v>
                </c:pt>
              </c:numCache>
            </c:numRef>
          </c:val>
          <c:smooth val="0"/>
          <c:extLst>
            <c:ext xmlns:c16="http://schemas.microsoft.com/office/drawing/2014/chart" uri="{C3380CC4-5D6E-409C-BE32-E72D297353CC}">
              <c16:uniqueId val="{00000001-838B-274F-ABD4-CABCF82FF58A}"/>
            </c:ext>
          </c:extLst>
        </c:ser>
        <c:dLbls>
          <c:showLegendKey val="0"/>
          <c:showVal val="0"/>
          <c:showCatName val="0"/>
          <c:showSerName val="0"/>
          <c:showPercent val="0"/>
          <c:showBubbleSize val="0"/>
        </c:dLbls>
        <c:smooth val="0"/>
        <c:axId val="1995751871"/>
        <c:axId val="1995731823"/>
      </c:lineChart>
      <c:catAx>
        <c:axId val="199575187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5731823"/>
        <c:crosses val="autoZero"/>
        <c:auto val="1"/>
        <c:lblAlgn val="ctr"/>
        <c:lblOffset val="100"/>
        <c:noMultiLvlLbl val="0"/>
      </c:catAx>
      <c:valAx>
        <c:axId val="1995731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5751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'Tech and Health Care data'!$G$6:$G$15</cx:f>
        <cx:lvl ptCount="10">
          <cx:pt idx="0">Mean</cx:pt>
          <cx:pt idx="1">Variance</cx:pt>
          <cx:pt idx="2">Observations</cx:pt>
          <cx:pt idx="3">Hypothesized Mean Difference</cx:pt>
          <cx:pt idx="4">df</cx:pt>
          <cx:pt idx="5">t Stat</cx:pt>
          <cx:pt idx="6">P(T&lt;=t) one-tail</cx:pt>
          <cx:pt idx="7">t Critical one-tail</cx:pt>
          <cx:pt idx="8">P(T&lt;=t) two-tail</cx:pt>
          <cx:pt idx="9">t Critical two-tail</cx:pt>
        </cx:lvl>
      </cx:strDim>
      <cx:numDim type="val">
        <cx:f>'Tech and Health Care data'!$H$6:$H$15</cx:f>
        <cx:lvl ptCount="10" formatCode="General">
          <cx:pt idx="0">2.0137499999999999</cx:pt>
          <cx:pt idx="1">1.5916839285714295</cx:pt>
          <cx:pt idx="2">8</cx:pt>
          <cx:pt idx="3">0</cx:pt>
          <cx:pt idx="4">7</cx:pt>
          <cx:pt idx="5">-0.21664397556638162</cx:pt>
          <cx:pt idx="6">0.4173321376397322</cx:pt>
          <cx:pt idx="7">1.89457860509001</cx:pt>
          <cx:pt idx="8">0.83466427527946441</cx:pt>
          <cx:pt idx="9">2.3646242515927849</cx:pt>
        </cx:lvl>
      </cx:numDim>
    </cx:data>
    <cx:data id="1">
      <cx:strDim type="cat">
        <cx:f>'Tech and Health Care data'!$G$6:$G$15</cx:f>
        <cx:lvl ptCount="10">
          <cx:pt idx="0">Mean</cx:pt>
          <cx:pt idx="1">Variance</cx:pt>
          <cx:pt idx="2">Observations</cx:pt>
          <cx:pt idx="3">Hypothesized Mean Difference</cx:pt>
          <cx:pt idx="4">df</cx:pt>
          <cx:pt idx="5">t Stat</cx:pt>
          <cx:pt idx="6">P(T&lt;=t) one-tail</cx:pt>
          <cx:pt idx="7">t Critical one-tail</cx:pt>
          <cx:pt idx="8">P(T&lt;=t) two-tail</cx:pt>
          <cx:pt idx="9">t Critical two-tail</cx:pt>
        </cx:lvl>
      </cx:strDim>
      <cx:numDim type="val">
        <cx:f>'Tech and Health Care data'!$I$6:$I$15</cx:f>
        <cx:lvl ptCount="10" formatCode="General">
          <cx:pt idx="0">2.6662500000000007</cx:pt>
          <cx:pt idx="1">70.978426785714277</cx:pt>
          <cx:pt idx="2">8</cx:pt>
        </cx:lvl>
      </cx:numDim>
    </cx:data>
  </cx:chartData>
  <cx:chart>
    <cx:title pos="t" align="ctr" overlay="0">
      <cx:tx>
        <cx:txData>
          <cx:v>Hypothesis Test</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Hypothesis Test</a:t>
          </a:r>
        </a:p>
      </cx:txPr>
    </cx:title>
    <cx:plotArea>
      <cx:plotAreaRegion>
        <cx:series layoutId="boxWhisker" uniqueId="{C4100A78-676B-4D40-BF56-34881B45A9BD}">
          <cx:tx>
            <cx:txData>
              <cx:f>'Tech and Health Care data'!$H$5</cx:f>
              <cx:v>Technology</cx:v>
            </cx:txData>
          </cx:tx>
          <cx:dataId val="0"/>
          <cx:layoutPr>
            <cx:visibility meanLine="0" meanMarker="1" nonoutliers="0" outliers="1"/>
            <cx:statistics quartileMethod="exclusive"/>
          </cx:layoutPr>
        </cx:series>
        <cx:series layoutId="boxWhisker" uniqueId="{AB7BBCEB-9B83-964A-A8FB-303D0EE74FD9}">
          <cx:tx>
            <cx:txData>
              <cx:f>'Tech and Health Care data'!$I$5</cx:f>
              <cx:v>Healthcare</cx:v>
            </cx:txData>
          </cx:tx>
          <cx:dataId val="1"/>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'Tech and Health Care data'!$B$4:$B$11</cx:f>
        <cx:lvl ptCount="8" formatCode="General">
          <cx:pt idx="0">2.1499999999999999</cx:pt>
          <cx:pt idx="1">3.1200000000000001</cx:pt>
          <cx:pt idx="2">0.94999999999999996</cx:pt>
          <cx:pt idx="3">3.9100000000000001</cx:pt>
          <cx:pt idx="4">0.68999999999999995</cx:pt>
          <cx:pt idx="5">3.23</cx:pt>
          <cx:pt idx="6">1.0800000000000001</cx:pt>
          <cx:pt idx="7">0.97999999999999998</cx:pt>
        </cx:lvl>
      </cx:numDim>
    </cx:data>
  </cx:chartData>
  <cx:chart>
    <cx:title pos="t" align="ctr" overlay="0">
      <cx:tx>
        <cx:txData>
          <cx:v>Fidelity Technology Portfolio: Sample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Fidelity Technology Portfolio: Sample</a:t>
          </a:r>
        </a:p>
      </cx:txPr>
    </cx:title>
    <cx:plotArea>
      <cx:plotAreaRegion>
        <cx:series layoutId="boxWhisker" uniqueId="{A8C6F475-68E1-624C-9F9D-457A3BEF9CED}">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'Tech and Health Care data'!$B$24:$B$31</cx:f>
        <cx:lvl ptCount="8" formatCode="General">
          <cx:pt idx="0">11.02</cx:pt>
          <cx:pt idx="1">3.6699999999999999</cx:pt>
          <cx:pt idx="2">5.6699999999999999</cx:pt>
          <cx:pt idx="3">1.46</cx:pt>
          <cx:pt idx="4">-16.829999999999998</cx:pt>
          <cx:pt idx="5">4.7800000000000002</cx:pt>
          <cx:pt idx="6">3.3700000000000001</cx:pt>
          <cx:pt idx="7">8.1899999999999995</cx:pt>
        </cx:lvl>
      </cx:numDim>
    </cx:data>
  </cx:chartData>
  <cx:chart>
    <cx:title pos="t" align="ctr" overlay="0">
      <cx:tx>
        <cx:txData>
          <cx:v>Fidelity Health Care Services: Sample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Fidelity Health Care Services: Sample</a:t>
          </a:r>
        </a:p>
      </cx:txPr>
    </cx:title>
    <cx:plotArea>
      <cx:plotAreaRegion>
        <cx:series layoutId="boxWhisker" uniqueId="{670CFA82-7AEF-C24E-ACA0-3502CA88CF2E}">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304</Words>
  <Characters>1735</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Long</dc:creator>
  <cp:keywords/>
  <dc:description/>
  <cp:lastModifiedBy>Sydney Long</cp:lastModifiedBy>
  <cp:revision>1</cp:revision>
  <dcterms:created xsi:type="dcterms:W3CDTF">2023-11-04T21:41:00Z</dcterms:created>
  <dcterms:modified xsi:type="dcterms:W3CDTF">2023-11-04T22:35:00Z</dcterms:modified>
</cp:coreProperties>
</file>