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0DA51" w14:textId="40467216" w:rsidR="00CB7408" w:rsidRPr="00204ADD" w:rsidRDefault="00CB7408" w:rsidP="00610AD3">
      <w:pPr>
        <w:spacing w:line="480" w:lineRule="auto"/>
        <w:jc w:val="center"/>
        <w:rPr>
          <w:b/>
          <w:bCs/>
        </w:rPr>
      </w:pPr>
      <w:bookmarkStart w:id="0" w:name="OLE_LINK4"/>
      <w:r w:rsidRPr="00204ADD">
        <w:rPr>
          <w:b/>
          <w:bCs/>
        </w:rPr>
        <w:t>Paint Manufacturing Report</w:t>
      </w:r>
    </w:p>
    <w:p w14:paraId="2B32AAA5" w14:textId="66576915" w:rsidR="00CB7408" w:rsidRDefault="00CB7408" w:rsidP="00610AD3">
      <w:pPr>
        <w:spacing w:line="480" w:lineRule="auto"/>
        <w:jc w:val="center"/>
      </w:pPr>
      <w:r>
        <w:t>Sydney Long</w:t>
      </w:r>
    </w:p>
    <w:p w14:paraId="1FF31066" w14:textId="77777777" w:rsidR="00204ADD" w:rsidRDefault="00204ADD" w:rsidP="00610AD3">
      <w:pPr>
        <w:spacing w:line="480" w:lineRule="auto"/>
        <w:jc w:val="center"/>
      </w:pPr>
    </w:p>
    <w:p w14:paraId="365819F0" w14:textId="77777777" w:rsidR="00204ADD" w:rsidRDefault="00610AD3" w:rsidP="00610AD3">
      <w:pPr>
        <w:spacing w:line="480" w:lineRule="auto"/>
      </w:pPr>
      <w:r>
        <w:tab/>
      </w:r>
      <w:r w:rsidR="00204ADD" w:rsidRPr="00204ADD">
        <w:t>This report examines quality control data for a paint manufacturing company following concerns about variation in the volume of 4-liter paint cans. Given the scale of the $53 billion paint industry, even slight inconsistencies can impact both financial outcomes and customer satisfaction. The company uses an automatic valve to fill each can, and while minor variation is expected, this analysis aims to determine whether any special cause variation is present.</w:t>
      </w:r>
    </w:p>
    <w:p w14:paraId="14A78C4A" w14:textId="77777777" w:rsidR="00204ADD" w:rsidRDefault="00204ADD" w:rsidP="00610AD3">
      <w:pPr>
        <w:spacing w:line="480" w:lineRule="auto"/>
      </w:pPr>
    </w:p>
    <w:p w14:paraId="1F603A73" w14:textId="6CE7D371" w:rsidR="00610AD3" w:rsidRDefault="00610AD3" w:rsidP="00610AD3">
      <w:pPr>
        <w:spacing w:line="480" w:lineRule="auto"/>
      </w:pPr>
      <w:r>
        <w:rPr>
          <w:noProof/>
        </w:rPr>
        <w:drawing>
          <wp:inline distT="0" distB="0" distL="0" distR="0" wp14:anchorId="697DEA77" wp14:editId="259EFA52">
            <wp:extent cx="5740400" cy="2705100"/>
            <wp:effectExtent l="0" t="0" r="12700" b="12700"/>
            <wp:docPr id="940176824" name="Chart 1">
              <a:extLst xmlns:a="http://schemas.openxmlformats.org/drawingml/2006/main">
                <a:ext uri="{FF2B5EF4-FFF2-40B4-BE49-F238E27FC236}">
                  <a16:creationId xmlns:a16="http://schemas.microsoft.com/office/drawing/2014/main" id="{1D866CCE-B42E-C7E9-DD0B-70BBDED8B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C417F73" w14:textId="77777777" w:rsidR="00204ADD" w:rsidRDefault="00204ADD" w:rsidP="00610AD3">
      <w:pPr>
        <w:spacing w:line="480" w:lineRule="auto"/>
      </w:pPr>
    </w:p>
    <w:p w14:paraId="5A8D4847" w14:textId="152EB967" w:rsidR="00204ADD" w:rsidRDefault="00610AD3" w:rsidP="00204ADD">
      <w:pPr>
        <w:spacing w:line="480" w:lineRule="auto"/>
      </w:pPr>
      <w:r>
        <w:tab/>
      </w:r>
      <w:bookmarkEnd w:id="0"/>
      <w:r w:rsidR="00204ADD">
        <w:t xml:space="preserve">Over a 25-day period, five random samples were collected each day, each measuring approximately 3.92 liters. All samples fell within the established control limits, with no values exceeding the upper control limit (UCL) or falling below the lower control limit (LCL). The sample </w:t>
      </w:r>
      <w:r w:rsidR="00204ADD">
        <w:lastRenderedPageBreak/>
        <w:t>values were evenly distributed around the centerline, with no clustering on one side, no long runs, and no consistent upward or downward trends.</w:t>
      </w:r>
    </w:p>
    <w:p w14:paraId="02758A3F" w14:textId="791AAF5F" w:rsidR="00610AD3" w:rsidRDefault="00204ADD" w:rsidP="00204ADD">
      <w:pPr>
        <w:spacing w:line="480" w:lineRule="auto"/>
        <w:ind w:firstLine="720"/>
      </w:pPr>
      <w:r>
        <w:t>These findings indicate that the process is stable and in statistical control. There is no evidence of special cause variation, and the slight fluctuations observed are consistent with normal operational expectations. As a result, no further investigation or corrective action is needed. The company’s filling process is functioning as intended.</w:t>
      </w:r>
    </w:p>
    <w:sectPr w:rsidR="0061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08"/>
    <w:rsid w:val="001C3383"/>
    <w:rsid w:val="00204ADD"/>
    <w:rsid w:val="00610AD3"/>
    <w:rsid w:val="00670D83"/>
    <w:rsid w:val="00715768"/>
    <w:rsid w:val="008939E6"/>
    <w:rsid w:val="00CB7408"/>
    <w:rsid w:val="00F5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0FD85"/>
  <w15:chartTrackingRefBased/>
  <w15:docId w15:val="{F588E87C-15E2-994F-B7AD-80020B12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80643">
      <w:bodyDiv w:val="1"/>
      <w:marLeft w:val="0"/>
      <w:marRight w:val="0"/>
      <w:marTop w:val="0"/>
      <w:marBottom w:val="0"/>
      <w:divBdr>
        <w:top w:val="none" w:sz="0" w:space="0" w:color="auto"/>
        <w:left w:val="none" w:sz="0" w:space="0" w:color="auto"/>
        <w:bottom w:val="none" w:sz="0" w:space="0" w:color="auto"/>
        <w:right w:val="none" w:sz="0" w:space="0" w:color="auto"/>
      </w:divBdr>
    </w:div>
    <w:div w:id="9647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ylong/Documents/School/MAT312%20Excel%20Lab%20%23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4-Liter</a:t>
            </a:r>
            <a:r>
              <a:rPr lang="en-US" baseline="0"/>
              <a:t> Paint Cans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'Control Charts'!$G$10</c:f>
              <c:strCache>
                <c:ptCount val="1"/>
                <c:pt idx="0">
                  <c:v>x-bar (per day)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'Control Charts'!$G$11:$G$35</c:f>
              <c:numCache>
                <c:formatCode>General</c:formatCode>
                <c:ptCount val="25"/>
                <c:pt idx="0">
                  <c:v>3.8160000000000003</c:v>
                </c:pt>
                <c:pt idx="1">
                  <c:v>4.1251999999999995</c:v>
                </c:pt>
                <c:pt idx="2">
                  <c:v>3.8538000000000006</c:v>
                </c:pt>
                <c:pt idx="3">
                  <c:v>4.0132000000000003</c:v>
                </c:pt>
                <c:pt idx="4">
                  <c:v>3.8588</c:v>
                </c:pt>
                <c:pt idx="5">
                  <c:v>3.7781999999999996</c:v>
                </c:pt>
                <c:pt idx="6">
                  <c:v>4.2744</c:v>
                </c:pt>
                <c:pt idx="7">
                  <c:v>3.6295999999999999</c:v>
                </c:pt>
                <c:pt idx="8">
                  <c:v>3.9456000000000002</c:v>
                </c:pt>
                <c:pt idx="9">
                  <c:v>4.2464000000000004</c:v>
                </c:pt>
                <c:pt idx="10">
                  <c:v>3.8409999999999997</c:v>
                </c:pt>
                <c:pt idx="11">
                  <c:v>3.786</c:v>
                </c:pt>
                <c:pt idx="12">
                  <c:v>3.9208000000000007</c:v>
                </c:pt>
                <c:pt idx="13">
                  <c:v>3.7338</c:v>
                </c:pt>
                <c:pt idx="14">
                  <c:v>4.0621999999999989</c:v>
                </c:pt>
                <c:pt idx="15">
                  <c:v>3.9676</c:v>
                </c:pt>
                <c:pt idx="16">
                  <c:v>3.8833999999999995</c:v>
                </c:pt>
                <c:pt idx="17">
                  <c:v>3.9818000000000007</c:v>
                </c:pt>
                <c:pt idx="18">
                  <c:v>4.0297999999999998</c:v>
                </c:pt>
                <c:pt idx="19">
                  <c:v>3.8962000000000003</c:v>
                </c:pt>
                <c:pt idx="20">
                  <c:v>3.9150000000000005</c:v>
                </c:pt>
                <c:pt idx="21">
                  <c:v>3.7957999999999998</c:v>
                </c:pt>
                <c:pt idx="22">
                  <c:v>3.8879999999999995</c:v>
                </c:pt>
                <c:pt idx="23">
                  <c:v>3.9486000000000003</c:v>
                </c:pt>
                <c:pt idx="24">
                  <c:v>3.8703999999999992</c:v>
                </c:pt>
              </c:numCache>
            </c:numRef>
          </c:val>
          <c:smooth val="0"/>
          <c:extLst>
            <c:ext xmlns:c16="http://schemas.microsoft.com/office/drawing/2014/chart" uri="{C3380CC4-5D6E-409C-BE32-E72D297353CC}">
              <c16:uniqueId val="{00000000-656F-7747-9927-BCED72983586}"/>
            </c:ext>
          </c:extLst>
        </c:ser>
        <c:ser>
          <c:idx val="1"/>
          <c:order val="1"/>
          <c:tx>
            <c:strRef>
              <c:f>'Control Charts'!$H$10</c:f>
              <c:strCache>
                <c:ptCount val="1"/>
                <c:pt idx="0">
                  <c:v>LCL</c:v>
                </c:pt>
              </c:strCache>
            </c:strRef>
          </c:tx>
          <c:spPr>
            <a:ln w="28575" cap="rnd">
              <a:solidFill>
                <a:schemeClr val="accent2"/>
              </a:solidFill>
              <a:round/>
            </a:ln>
            <a:effectLst/>
          </c:spPr>
          <c:marker>
            <c:symbol val="none"/>
          </c:marker>
          <c:val>
            <c:numRef>
              <c:f>'Control Charts'!$H$11:$H$35</c:f>
              <c:numCache>
                <c:formatCode>General</c:formatCode>
                <c:ptCount val="25"/>
                <c:pt idx="0">
                  <c:v>3.1724640000000006</c:v>
                </c:pt>
                <c:pt idx="1">
                  <c:v>3.1724640000000006</c:v>
                </c:pt>
                <c:pt idx="2">
                  <c:v>3.1724640000000006</c:v>
                </c:pt>
                <c:pt idx="3">
                  <c:v>3.1724640000000006</c:v>
                </c:pt>
                <c:pt idx="4">
                  <c:v>3.1724640000000006</c:v>
                </c:pt>
                <c:pt idx="5">
                  <c:v>3.1724640000000006</c:v>
                </c:pt>
                <c:pt idx="6">
                  <c:v>3.1724640000000006</c:v>
                </c:pt>
                <c:pt idx="7">
                  <c:v>3.1724640000000006</c:v>
                </c:pt>
                <c:pt idx="8">
                  <c:v>3.1724640000000006</c:v>
                </c:pt>
                <c:pt idx="9">
                  <c:v>3.1724640000000006</c:v>
                </c:pt>
                <c:pt idx="10">
                  <c:v>3.1724640000000006</c:v>
                </c:pt>
                <c:pt idx="11">
                  <c:v>3.1724640000000006</c:v>
                </c:pt>
                <c:pt idx="12">
                  <c:v>3.1724640000000006</c:v>
                </c:pt>
                <c:pt idx="13">
                  <c:v>3.1724640000000006</c:v>
                </c:pt>
                <c:pt idx="14">
                  <c:v>3.1724640000000006</c:v>
                </c:pt>
                <c:pt idx="15">
                  <c:v>3.1724640000000006</c:v>
                </c:pt>
                <c:pt idx="16">
                  <c:v>3.1724640000000006</c:v>
                </c:pt>
                <c:pt idx="17">
                  <c:v>3.1724640000000006</c:v>
                </c:pt>
                <c:pt idx="18">
                  <c:v>3.1724640000000006</c:v>
                </c:pt>
                <c:pt idx="19">
                  <c:v>3.1724640000000006</c:v>
                </c:pt>
                <c:pt idx="20">
                  <c:v>3.1724640000000006</c:v>
                </c:pt>
                <c:pt idx="21">
                  <c:v>3.1724640000000006</c:v>
                </c:pt>
                <c:pt idx="22">
                  <c:v>3.1724640000000006</c:v>
                </c:pt>
                <c:pt idx="23">
                  <c:v>3.1724640000000006</c:v>
                </c:pt>
                <c:pt idx="24">
                  <c:v>3.1724640000000006</c:v>
                </c:pt>
              </c:numCache>
            </c:numRef>
          </c:val>
          <c:smooth val="0"/>
          <c:extLst>
            <c:ext xmlns:c16="http://schemas.microsoft.com/office/drawing/2014/chart" uri="{C3380CC4-5D6E-409C-BE32-E72D297353CC}">
              <c16:uniqueId val="{00000001-656F-7747-9927-BCED72983586}"/>
            </c:ext>
          </c:extLst>
        </c:ser>
        <c:ser>
          <c:idx val="2"/>
          <c:order val="2"/>
          <c:tx>
            <c:strRef>
              <c:f>'Control Charts'!$I$10</c:f>
              <c:strCache>
                <c:ptCount val="1"/>
                <c:pt idx="0">
                  <c:v>Center</c:v>
                </c:pt>
              </c:strCache>
            </c:strRef>
          </c:tx>
          <c:spPr>
            <a:ln w="28575" cap="rnd">
              <a:solidFill>
                <a:schemeClr val="accent3"/>
              </a:solidFill>
              <a:round/>
            </a:ln>
            <a:effectLst/>
          </c:spPr>
          <c:marker>
            <c:symbol val="none"/>
          </c:marker>
          <c:val>
            <c:numRef>
              <c:f>'Control Charts'!$I$11:$I$35</c:f>
              <c:numCache>
                <c:formatCode>General</c:formatCode>
                <c:ptCount val="25"/>
                <c:pt idx="0">
                  <c:v>3.9224640000000006</c:v>
                </c:pt>
                <c:pt idx="1">
                  <c:v>3.9224640000000006</c:v>
                </c:pt>
                <c:pt idx="2">
                  <c:v>3.9224640000000006</c:v>
                </c:pt>
                <c:pt idx="3">
                  <c:v>3.9224640000000006</c:v>
                </c:pt>
                <c:pt idx="4">
                  <c:v>3.9224640000000006</c:v>
                </c:pt>
                <c:pt idx="5">
                  <c:v>3.9224640000000006</c:v>
                </c:pt>
                <c:pt idx="6">
                  <c:v>3.9224640000000006</c:v>
                </c:pt>
                <c:pt idx="7">
                  <c:v>3.9224640000000006</c:v>
                </c:pt>
                <c:pt idx="8">
                  <c:v>3.9224640000000006</c:v>
                </c:pt>
                <c:pt idx="9">
                  <c:v>3.9224640000000006</c:v>
                </c:pt>
                <c:pt idx="10">
                  <c:v>3.9224640000000006</c:v>
                </c:pt>
                <c:pt idx="11">
                  <c:v>3.9224640000000006</c:v>
                </c:pt>
                <c:pt idx="12">
                  <c:v>3.9224640000000006</c:v>
                </c:pt>
                <c:pt idx="13">
                  <c:v>3.9224640000000006</c:v>
                </c:pt>
                <c:pt idx="14">
                  <c:v>3.9224640000000006</c:v>
                </c:pt>
                <c:pt idx="15">
                  <c:v>3.9224640000000006</c:v>
                </c:pt>
                <c:pt idx="16">
                  <c:v>3.9224640000000006</c:v>
                </c:pt>
                <c:pt idx="17">
                  <c:v>3.9224640000000006</c:v>
                </c:pt>
                <c:pt idx="18">
                  <c:v>3.9224640000000006</c:v>
                </c:pt>
                <c:pt idx="19">
                  <c:v>3.9224640000000006</c:v>
                </c:pt>
                <c:pt idx="20">
                  <c:v>3.9224640000000006</c:v>
                </c:pt>
                <c:pt idx="21">
                  <c:v>3.9224640000000006</c:v>
                </c:pt>
                <c:pt idx="22">
                  <c:v>3.9224640000000006</c:v>
                </c:pt>
                <c:pt idx="23">
                  <c:v>3.9224640000000006</c:v>
                </c:pt>
                <c:pt idx="24">
                  <c:v>3.9224640000000006</c:v>
                </c:pt>
              </c:numCache>
            </c:numRef>
          </c:val>
          <c:smooth val="0"/>
          <c:extLst>
            <c:ext xmlns:c16="http://schemas.microsoft.com/office/drawing/2014/chart" uri="{C3380CC4-5D6E-409C-BE32-E72D297353CC}">
              <c16:uniqueId val="{00000002-656F-7747-9927-BCED72983586}"/>
            </c:ext>
          </c:extLst>
        </c:ser>
        <c:ser>
          <c:idx val="3"/>
          <c:order val="3"/>
          <c:tx>
            <c:strRef>
              <c:f>'Control Charts'!$J$10</c:f>
              <c:strCache>
                <c:ptCount val="1"/>
                <c:pt idx="0">
                  <c:v>UCL</c:v>
                </c:pt>
              </c:strCache>
            </c:strRef>
          </c:tx>
          <c:spPr>
            <a:ln w="28575" cap="rnd">
              <a:solidFill>
                <a:schemeClr val="accent4"/>
              </a:solidFill>
              <a:round/>
            </a:ln>
            <a:effectLst/>
          </c:spPr>
          <c:marker>
            <c:symbol val="none"/>
          </c:marker>
          <c:val>
            <c:numRef>
              <c:f>'Control Charts'!$J$11:$J$35</c:f>
              <c:numCache>
                <c:formatCode>General</c:formatCode>
                <c:ptCount val="25"/>
                <c:pt idx="0">
                  <c:v>4.6724640000000006</c:v>
                </c:pt>
                <c:pt idx="1">
                  <c:v>4.6724640000000006</c:v>
                </c:pt>
                <c:pt idx="2">
                  <c:v>4.6724640000000006</c:v>
                </c:pt>
                <c:pt idx="3">
                  <c:v>4.6724640000000006</c:v>
                </c:pt>
                <c:pt idx="4">
                  <c:v>4.6724640000000006</c:v>
                </c:pt>
                <c:pt idx="5">
                  <c:v>4.6724640000000006</c:v>
                </c:pt>
                <c:pt idx="6">
                  <c:v>4.6724640000000006</c:v>
                </c:pt>
                <c:pt idx="7">
                  <c:v>4.6724640000000006</c:v>
                </c:pt>
                <c:pt idx="8">
                  <c:v>4.6724640000000006</c:v>
                </c:pt>
                <c:pt idx="9">
                  <c:v>4.6724640000000006</c:v>
                </c:pt>
                <c:pt idx="10">
                  <c:v>4.6724640000000006</c:v>
                </c:pt>
                <c:pt idx="11">
                  <c:v>4.6724640000000006</c:v>
                </c:pt>
                <c:pt idx="12">
                  <c:v>4.6724640000000006</c:v>
                </c:pt>
                <c:pt idx="13">
                  <c:v>4.6724640000000006</c:v>
                </c:pt>
                <c:pt idx="14">
                  <c:v>4.6724640000000006</c:v>
                </c:pt>
                <c:pt idx="15">
                  <c:v>4.6724640000000006</c:v>
                </c:pt>
                <c:pt idx="16">
                  <c:v>4.6724640000000006</c:v>
                </c:pt>
                <c:pt idx="17">
                  <c:v>4.6724640000000006</c:v>
                </c:pt>
                <c:pt idx="18">
                  <c:v>4.6724640000000006</c:v>
                </c:pt>
                <c:pt idx="19">
                  <c:v>4.6724640000000006</c:v>
                </c:pt>
                <c:pt idx="20">
                  <c:v>4.6724640000000006</c:v>
                </c:pt>
                <c:pt idx="21">
                  <c:v>4.6724640000000006</c:v>
                </c:pt>
                <c:pt idx="22">
                  <c:v>4.6724640000000006</c:v>
                </c:pt>
                <c:pt idx="23">
                  <c:v>4.6724640000000006</c:v>
                </c:pt>
                <c:pt idx="24">
                  <c:v>4.6724640000000006</c:v>
                </c:pt>
              </c:numCache>
            </c:numRef>
          </c:val>
          <c:smooth val="0"/>
          <c:extLst>
            <c:ext xmlns:c16="http://schemas.microsoft.com/office/drawing/2014/chart" uri="{C3380CC4-5D6E-409C-BE32-E72D297353CC}">
              <c16:uniqueId val="{00000003-656F-7747-9927-BCED72983586}"/>
            </c:ext>
          </c:extLst>
        </c:ser>
        <c:dLbls>
          <c:showLegendKey val="0"/>
          <c:showVal val="0"/>
          <c:showCatName val="0"/>
          <c:showSerName val="0"/>
          <c:showPercent val="0"/>
          <c:showBubbleSize val="0"/>
        </c:dLbls>
        <c:marker val="1"/>
        <c:smooth val="0"/>
        <c:axId val="895356367"/>
        <c:axId val="895433343"/>
      </c:lineChart>
      <c:catAx>
        <c:axId val="895356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433343"/>
        <c:crosses val="autoZero"/>
        <c:auto val="1"/>
        <c:lblAlgn val="ctr"/>
        <c:lblOffset val="100"/>
        <c:noMultiLvlLbl val="0"/>
      </c:catAx>
      <c:valAx>
        <c:axId val="895433343"/>
        <c:scaling>
          <c:orientation val="minMax"/>
          <c:min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5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Long</dc:creator>
  <cp:keywords/>
  <dc:description/>
  <cp:lastModifiedBy>Long, Sydney (Student)</cp:lastModifiedBy>
  <cp:revision>3</cp:revision>
  <dcterms:created xsi:type="dcterms:W3CDTF">2023-09-21T18:48:00Z</dcterms:created>
  <dcterms:modified xsi:type="dcterms:W3CDTF">2025-06-17T21:04:00Z</dcterms:modified>
</cp:coreProperties>
</file>