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2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Задача 3: Проверка лицензии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Исходный код с комментариями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pBdr/>
        <w:shd w:val="clear" w:color="auto" w:fill="fafafa"/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python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Copy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Download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626a4"/>
          <w:sz w:val="28"/>
          <w:szCs w:val="28"/>
          <w:lang w:eastAsia="ru-RU"/>
        </w:rPr>
        <w:t xml:space="preserve">import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os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#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 Импорт модуля для работы с файловой системой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626a4"/>
          <w:sz w:val="28"/>
          <w:szCs w:val="28"/>
          <w:lang w:eastAsia="ru-RU"/>
        </w:rPr>
        <w:t xml:space="preserve">def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eastAsia="ru-RU"/>
        </w:rPr>
        <w:t xml:space="preserve">check_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eastAsia="ru-RU"/>
        </w:rPr>
        <w:t xml:space="preserve">license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eastAsia="ru-RU"/>
        </w:rPr>
        <w:t xml:space="preserve">):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# Проверка существования файла лицензии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if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not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os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.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path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.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exists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license.key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):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eastAsia="ru-RU"/>
        </w:rPr>
        <w:t xml:space="preserve">print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eastAsia="ru-RU"/>
        </w:rPr>
        <w:t xml:space="preserve">"Файл лицензии не найден!"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eastAsia="ru-RU"/>
        </w:rPr>
        <w:t xml:space="preserve">return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b76b01"/>
          <w:sz w:val="28"/>
          <w:szCs w:val="28"/>
          <w:lang w:eastAsia="ru-RU"/>
        </w:rPr>
        <w:t xml:space="preserve">False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#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 Возвращаем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False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, если файла нет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Чтение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файла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лицензии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with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open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license.key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as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f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: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key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eastAsia="ru-RU"/>
        </w:rPr>
        <w:t xml:space="preserve">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f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read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eastAsia="ru-RU"/>
        </w:rPr>
        <w:t xml:space="preserve">().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strip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eastAsia="ru-RU"/>
        </w:rPr>
        <w:t xml:space="preserve">()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# Удаляем лишние пробелы и переносы строк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eastAsia="ru-RU"/>
        </w:rPr>
        <w:t xml:space="preserve">return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key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eastAsia="ru-RU"/>
        </w:rPr>
        <w:t xml:space="preserve">==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eastAsia="ru-RU"/>
        </w:rPr>
        <w:t xml:space="preserve">"ABCD-1234-EFGH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eastAsia="ru-RU"/>
        </w:rPr>
        <w:t xml:space="preserve">"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#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 Сравнение с эталонным ключом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def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main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):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Проверка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лицензии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if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not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check_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license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):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   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eastAsia="ru-RU"/>
        </w:rPr>
        <w:t xml:space="preserve">print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eastAsia="ru-RU"/>
        </w:rPr>
        <w:t xml:space="preserve">"Программа заблокирована!"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eastAsia="ru-RU"/>
        </w:rPr>
        <w:t xml:space="preserve">return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#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 Выход, если лицензия недействительна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# Основной функционал программы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eastAsia="ru-RU"/>
        </w:rPr>
        <w:t xml:space="preserve">print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eastAsia="ru-RU"/>
        </w:rPr>
        <w:t xml:space="preserve">"Программа запущена!"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# Здесь мог бы быть основной код приложения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if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__name__ 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==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"__main__"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: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main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#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Запуск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a0a1a7"/>
          <w:sz w:val="28"/>
          <w:szCs w:val="28"/>
          <w:lang w:eastAsia="ru-RU"/>
        </w:rPr>
        <w:t xml:space="preserve">программы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Тестирование программы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tbl>
      <w:tblPr>
        <w:tblW w:w="0" w:type="auto"/>
        <w:tblBorders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3569"/>
        <w:gridCol w:w="2558"/>
        <w:gridCol w:w="3228"/>
      </w:tblGrid>
      <w:tr>
        <w:trPr>
          <w:tblHeader/>
        </w:trPr>
        <w:tc>
          <w:tcPr>
            <w:tcBorders>
              <w:top w:val="none" w:color="000000" w:sz="4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Сценарий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Результат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Вывод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Mar>
              <w:left w:w="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Нет файла 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license.key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Файл лицензии не найден!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br/>
              <w:t xml:space="preserve">Программа заблокирована!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Лицензия не обнаружена, доступ запрещён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Mar>
              <w:left w:w="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Файл есть, ключ верный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 (ABCD-1234-EFGH)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Программа запущена!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Лицензия действительна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Mar>
              <w:left w:w="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Файл есть, ключ неверный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 (XXXX-0000-YYYY)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Программа заблокирована!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Лицензия недействительна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</w:tbl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2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Задача 4: Вопросы по защите ПО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1. Основные цели защиты ПО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1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Затруднение реверс-инжиниринга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1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Предотвращение нелегального копирования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1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Защита интеллектуальной собственности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2. Важность защиты для бизнеса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Сохранение конкурентных преимуществ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Предотвращение утечек данных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2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Соблюдение лицензионных соглашений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3. Риски при отсутствии защиты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3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Утечки алгоритмов и данных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3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Внедрение вредоносного кода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3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Финансовые потери из-за пиратства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4. Реверс-инжиниринг и угрозы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4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Что это?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Анализ бинарного кода для восстановления логики.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4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Угрозы: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Кража технологий, создание эксплойтов.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5. Методы реверс-инжиниринга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Статический анализ (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Ghidra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, IDA Pro)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5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Динамический анализ (отладчики: x64dbg, 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OllyDbg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6. Уязвимости в незащищённом ПО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6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Жёстко закодированные пароли (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password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= "12345")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6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Отсутствие проверки лицензий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6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Уязвимости переполнения буфера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7. Популярные методы защиты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7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Обфускация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кода (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PyArmor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Obfuscator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-LLVM)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7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Шифрование строк и алгоритмов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7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Лицензирование (HWID, онлайн-активация)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8. Шифрование данных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Симметричное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(AES, ключ один)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8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Асимметричное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(RSA, пара ключей)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9. 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Обфускация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кода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9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Преобразует код в трудночитаемый вид.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9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Примеры инструментов: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PyArmor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(Python), 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ProGuard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(Java).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10. Лицензирование для защиты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hd w:val="clear" w:color="auto" w:fill="ffffff"/>
        <w:spacing w:after="60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Типы лицензий: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Оффлайн (файл 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license.key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Онлайн (серверная проверка)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Привязка к железу (HWID)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11. Тестирование защиты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Попытка декомпиляции (uncompyle6, 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Ghidra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11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Фаззинг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-тесты (ввод неверных данных)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12. Аудит безопасности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12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Выявление уязвимостей до релиза.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12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Инструменты: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SonarQube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Checkmarx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13. Автоматизированное тестирование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13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Пример: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CI/CD-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пайплайны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с проверкой уязвимостей.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14. Успешные практики защиты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Denuvo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(защита игр от пиратства)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14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Spotify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(онлайн-лицензирование)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15. Адаптация защиты под тип ПО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15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Мобильные приложения: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Защита от модификации (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Frida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Xposed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15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Десктоп: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Антиотладочные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техники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16. Примеры взломов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16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Взлом игры 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Cyberpunk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2077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(незащищённые скрипты)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16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Утечка исходников 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Windows XP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(2004 г.)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17. Машинное обучение в защите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17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Детекция аномалий в работе ПО.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18. Юридические аспекты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18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DMCA (США) – запрет на обход защиты.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18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GDPR (ЕС) – защита пользовательских данных.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19. Новые тренды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19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RASP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val="en-US" w:eastAsia="ru-RU"/>
        </w:rPr>
        <w:t xml:space="preserve"> (Runtime Application Self-Protection)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val="en-US" w:eastAsia="ru-RU"/>
        </w:rPr>
      </w:r>
    </w:p>
    <w:p>
      <w:pPr>
        <w:numPr>
          <w:ilvl w:val="0"/>
          <w:numId w:val="19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Контейнеризация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(изоляция кода)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outlineLvl w:val="3"/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20. Влияние 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IoT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и AI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Уязвимости 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IoT</w:t>
      </w: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Слабые стандарты шифрования.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20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AI-риски: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 Подделка лицензионных ключей нейросетями.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hd w:val="clear" w:color="auto" w:fill="ffffff"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Итог: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21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Базовая проверка лицензии уязвима к модификации файлов.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21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Для надёжной защиты нужен комплексный подход (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обфускация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+ шифрование + серверная проверка).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numPr>
          <w:ilvl w:val="0"/>
          <w:numId w:val="21"/>
        </w:numPr>
        <w:pBdr/>
        <w:shd w:val="clear" w:color="auto" w:fill="ffffff"/>
        <w:spacing w:after="100" w:afterAutospacing="1" w:line="240" w:lineRule="auto"/>
        <w:ind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Регулярный аудит безопасности критически важен.</w:t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Times New Roman">
    <w:panose1 w:val="02020603050405020304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2025-06-06T21:15:58Z</dcterms:modified>
</cp:coreProperties>
</file>