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Iovine and Young Academy Transverse</w:t>
      </w:r>
    </w:p>
    <w:p>
      <w:r>
        <w:rPr>
          <w:rFonts w:ascii="Times New Roman" w:hAnsi="Times New Roman"/>
          <w:b/>
          <w:i w:val="0"/>
          <w:sz w:val="24"/>
          <w:u w:val="none"/>
        </w:rPr>
        <w:t>Introduction</w:t>
      </w:r>
      <w:r>
        <w:t xml:space="preserve"> </w:t>
      </w:r>
      <w:r>
        <w:t>: The Iovine and Young Academy, established at the University of Southern California, embodies a transdisciplinary approach to education and innovation. This innovative institution integrates technology, design, business, and arts into a unique educational experience, fostering creativity and forward-thinking problem solving.</w:t>
      </w:r>
    </w:p>
    <w:p>
      <w:r>
        <w:t>The Academy transcends traditional academic boundaries, providing students with an environment where collaboration and entrepreneurship thrive. Students are encouraged to embrace diverse perspectives, challenge conventional norms, and actively engage with real-world challenges.</w:t>
      </w:r>
    </w:p>
    <w:p>
      <w:r>
        <w:t>By exploring the intersection of various disciplines, the academy aims to empower the next generation of leaders and change-makers with the tools to address complex global issues and drive meaningful impact.</w:t>
      </w:r>
    </w:p>
    <w:p>
      <w:r>
        <w:rPr>
          <w:rFonts w:ascii="Times New Roman" w:hAnsi="Times New Roman"/>
          <w:b/>
          <w:i w:val="0"/>
          <w:sz w:val="24"/>
          <w:u w:val="none"/>
        </w:rPr>
        <w:t>Conclusion</w:t>
      </w:r>
      <w:r>
        <w:t xml:space="preserve"> </w:t>
      </w:r>
      <w:r>
        <w:t>: The Iovine and Young Academy's transverse approach represents a paradigm shift in education, emphasizing adaptability, creativity, and collaboration as essential skills for success in the dynamic landscape of the 21st century.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