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drawing>
          <wp:inline distT="0" distB="0" distL="0" distR="0">
            <wp:extent cx="514350" cy="514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64748B"/>
          <w:spacing w:val="30"/>
          <w:sz w:val="15"/>
          <w:szCs w:val="15"/>
        </w:rPr>
        <w:t xml:space="preserve">ŠTATISTIKY SLOVENSKÉHO FUTBALU</w:t>
      </w:r>
    </w:p>
    <w:p>
      <w:pPr>
        <w:pStyle w:val="Title"/>
        <w:spacing w:after="120"/>
      </w:pPr>
      <w:r>
        <w:rPr>
          <w:rFonts w:ascii="Calibri" w:cs="Calibri" w:eastAsia="Calibri" w:hAnsi="Calibri"/>
          <w:b/>
          <w:bCs/>
          <w:color w:val="0F172A"/>
          <w:sz w:val="44"/>
          <w:szCs w:val="44"/>
        </w:rPr>
        <w:t xml:space="preserve">Odstúpené kluby — čo hovoria dáta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</w:rPr>
        <w:t xml:space="preserve">Podklad na argumentáciu, 19. 8. 2026.</w:t>
      </w:r>
      <w:r>
        <w:rPr>
          <w:rFonts w:ascii="Calibri" w:cs="Calibri" w:eastAsia="Calibri" w:hAnsi="Calibri"/>
        </w:rPr>
        <w:t xml:space="preserve"> Zadanie prišlo ako „štatistika odhlásených klubov za posledných 5 rokov“ s cieľom vyvrátiť rétoriku, že sa kluby hromadne odhlásili tento rok — či už pre zmeny v RaPP, alebo pre nevyplatené finančné záväzky zo strany SFZ.</w:t>
      </w:r>
    </w:p>
    <w:p>
      <w:pPr>
        <w:pBdr>
          <w:bottom w:val="single" w:color="E2E8F0" w:sz="6" w:space="10"/>
        </w:pBdr>
        <w:spacing w:after="240"/>
      </w:pPr>
      <w:r>
        <w:rPr>
          <w:rFonts w:ascii="Calibri" w:cs="Calibri" w:eastAsia="Calibri" w:hAnsi="Calibri"/>
          <w:color w:val="64748B"/>
          <w:sz w:val="19"/>
          <w:szCs w:val="19"/>
        </w:rPr>
        <w:t xml:space="preserve">Zdroj: ISSF, prepočet </w:t>
      </w:r>
      <w:r>
        <w:rPr>
          <w:rFonts w:ascii="Consolas" w:cs="Consolas" w:eastAsia="Consolas" w:hAnsi="Consolas"/>
          <w:color w:val="64748B"/>
          <w:sz w:val="19"/>
          <w:szCs w:val="19"/>
        </w:rPr>
        <w:t xml:space="preserve">etl/odstupene_kluby.py</w:t>
      </w:r>
      <w:r>
        <w:rPr>
          <w:rFonts w:ascii="Calibri" w:cs="Calibri" w:eastAsia="Calibri" w:hAnsi="Calibri"/>
          <w:color w:val="64748B"/>
          <w:sz w:val="19"/>
          <w:szCs w:val="19"/>
        </w:rPr>
        <w:t xml:space="preserve"> → </w:t>
      </w:r>
      <w:r>
        <w:rPr>
          <w:rFonts w:ascii="Consolas" w:cs="Consolas" w:eastAsia="Consolas" w:hAnsi="Consolas"/>
          <w:color w:val="64748B"/>
          <w:sz w:val="19"/>
          <w:szCs w:val="19"/>
        </w:rPr>
        <w:t xml:space="preserve">data/odstupene-kluby.json</w:t>
      </w:r>
      <w:r>
        <w:rPr>
          <w:rFonts w:ascii="Calibri" w:cs="Calibri" w:eastAsia="Calibri" w:hAnsi="Calibri"/>
          <w:color w:val="64748B"/>
          <w:sz w:val="19"/>
          <w:szCs w:val="19"/>
        </w:rPr>
        <w:t xml:space="preserve">. Overiteľné na </w:t>
      </w:r>
      <w:hyperlink w:history="1" r:id="rIdac8bafscxx9knoeoc6lfk">
        <w:r>
          <w:rPr>
            <w:rFonts w:ascii="Calibri" w:cs="Calibri" w:eastAsia="Calibri" w:hAnsi="Calibri"/>
            <w:color w:val="1450DF"/>
            <w:sz w:val="19"/>
            <w:szCs w:val="19"/>
            <w:u w:val="single"/>
          </w:rPr>
          <w:t xml:space="preserve">statistika.futbalsfz.sk</w:t>
        </w:r>
      </w:hyperlink>
      <w:r>
        <w:rPr>
          <w:rFonts w:ascii="Calibri" w:cs="Calibri" w:eastAsia="Calibri" w:hAnsi="Calibri"/>
          <w:color w:val="64748B"/>
          <w:sz w:val="19"/>
          <w:szCs w:val="19"/>
        </w:rPr>
        <w:t xml:space="preserve">.</w:t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0F172A"/>
          <w:sz w:val="30"/>
          <w:szCs w:val="30"/>
        </w:rPr>
        <w:t xml:space="preserve">Najprv terminológia, inak sa v tom stratíme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</w:rPr>
        <w:t xml:space="preserve">„Odhlásený klub“ je zlá definícia — odhlasujú sa DRUŽSTVÁ, nie kluby.</w:t>
      </w:r>
      <w:r>
        <w:rPr>
          <w:rFonts w:ascii="Calibri" w:cs="Calibri" w:eastAsia="Calibri" w:hAnsi="Calibri"/>
        </w:rPr>
        <w:t xml:space="preserve"> Klub môže odhlásiť dorast a ďalej hrať dospelých aj prípravku. Preto sa v tomto podklade pracuje s dvoma presnými pojmami:</w:t>
      </w:r>
    </w:p>
    <w:tbl>
      <w:tblPr>
        <w:tblW w:type="dxa" w:w="9070"/>
        <w:tblBorders>
          <w:top w:val="single" w:color="E2E8F0" w:sz="4"/>
          <w:left w:val="none"/>
          <w:bottom w:val="single" w:color="E2E8F0" w:sz="4"/>
          <w:right w:val="none"/>
          <w:insideH w:val="single" w:color="E2E8F0" w:sz="2"/>
          <w:insideV w:val="none"/>
        </w:tblBorders>
      </w:tblPr>
      <w:tblGrid>
        <w:gridCol w:w="2200"/>
        <w:gridCol w:w="6870"/>
      </w:tblGrid>
      <w:tr>
        <w:trPr>
          <w:tblHeader/>
        </w:trPr>
        <w:tc>
          <w:tcPr>
            <w:tcW w:type="dxa" w:w="100"/>
            <w:shd w:fill="EEF2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9"/>
                <w:szCs w:val="19"/>
              </w:rPr>
              <w:t xml:space="preserve">Pojem</w:t>
            </w:r>
          </w:p>
        </w:tc>
        <w:tc>
          <w:tcPr>
            <w:tcW w:type="dxa" w:w="100"/>
            <w:shd w:fill="EEF2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9"/>
                <w:szCs w:val="19"/>
              </w:rPr>
              <w:t xml:space="preserve">Definícia</w:t>
            </w:r>
          </w:p>
        </w:tc>
      </w:tr>
      <w:tr>
        <w:tc>
          <w:tcPr>
            <w:tcW w:type="dxa" w:w="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9"/>
                <w:szCs w:val="19"/>
              </w:rPr>
              <w:t xml:space="preserve">Odstúpený klub</w:t>
            </w:r>
          </w:p>
        </w:tc>
        <w:tc>
          <w:tcPr>
            <w:tcW w:type="dxa" w:w="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klub, ktorý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9"/>
                <w:szCs w:val="19"/>
              </w:rPr>
              <w:t xml:space="preserve">prvú sezónu nemá v súťažiach žiadne družstvo</w:t>
            </w: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 a v predchádzajúcej sezóne mal aspoň jedno</w:t>
            </w:r>
          </w:p>
        </w:tc>
      </w:tr>
      <w:tr>
        <w:tc>
          <w:tcPr>
            <w:tcW w:type="dxa" w:w="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9"/>
                <w:szCs w:val="19"/>
              </w:rPr>
              <w:t xml:space="preserve">Zaniknutý klub</w:t>
            </w:r>
          </w:p>
        </w:tc>
        <w:tc>
          <w:tcPr>
            <w:tcW w:type="dxa" w:w="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klub, ktorý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9"/>
                <w:szCs w:val="19"/>
              </w:rPr>
              <w:t xml:space="preserve">dva roky po sebe</w:t>
            </w: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 neprihlási do súťaže žiadne družstvo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p>
      <w:pPr>
        <w:spacing w:after="140" w:line="276"/>
      </w:pPr>
      <w:r>
        <w:rPr>
          <w:rFonts w:ascii="Calibri" w:cs="Calibri" w:eastAsia="Calibri" w:hAnsi="Calibri"/>
        </w:rPr>
        <w:t xml:space="preserve">Odstúpený klub </w:t>
      </w:r>
      <w:r>
        <w:rPr>
          <w:rFonts w:ascii="Calibri" w:cs="Calibri" w:eastAsia="Calibri" w:hAnsi="Calibri"/>
          <w:b/>
          <w:bCs/>
        </w:rPr>
        <w:t xml:space="preserve">nie je zaniknutý klub</w:t>
      </w:r>
      <w:r>
        <w:rPr>
          <w:rFonts w:ascii="Calibri" w:cs="Calibri" w:eastAsia="Calibri" w:hAnsi="Calibri"/>
        </w:rPr>
        <w:t xml:space="preserve">. Po jednej vynechanej sezóne sa vracia každý piaty klub (19,7 %). Zánik je až druhá tichá sezóna.</w:t>
      </w:r>
    </w:p>
    <w:p>
      <w:pPr>
        <w:spacing w:after="140" w:line="276"/>
      </w:pPr>
      <w:r>
        <w:rPr>
          <w:rFonts w:ascii="Calibri" w:cs="Calibri" w:eastAsia="Calibri" w:hAnsi="Calibri"/>
        </w:rPr>
        <w:t xml:space="preserve">Prihlásené družstvo sa v dátach meria </w:t>
      </w:r>
      <w:r>
        <w:rPr>
          <w:rFonts w:ascii="Calibri" w:cs="Calibri" w:eastAsia="Calibri" w:hAnsi="Calibri"/>
          <w:b/>
          <w:bCs/>
        </w:rPr>
        <w:t xml:space="preserve">reálne odohraným zápasom</w:t>
      </w:r>
      <w:r>
        <w:rPr>
          <w:rFonts w:ascii="Calibri" w:cs="Calibri" w:eastAsia="Calibri" w:hAnsi="Calibri"/>
        </w:rPr>
        <w:t xml:space="preserve"> — družstvo, ktoré sa prihlási a odhlási pred prvým kolom, hraný futbal nie je. Poháre sa nerátajú: do Slovnaft Cupu sa dostane len klub aktívny v súťažiach. </w:t>
      </w:r>
      <w:r>
        <w:rPr>
          <w:rFonts w:ascii="Calibri" w:cs="Calibri" w:eastAsia="Calibri" w:hAnsi="Calibri"/>
          <w:b/>
          <w:bCs/>
        </w:rPr>
        <w:t xml:space="preserve">Prebiehajúca sezóna 2026/2027 sa nehodnotí</w:t>
      </w:r>
      <w:r>
        <w:rPr>
          <w:rFonts w:ascii="Calibri" w:cs="Calibri" w:eastAsia="Calibri" w:hAnsi="Calibri"/>
        </w:rPr>
        <w:t xml:space="preserve"> — mládežnícke súťaže sa rozbiehajú neskôr, takže klub, ktorý ešte len čaká na štart svojej súťaže, by vyšiel ako odstúpený. Preregistrácie klubu (nové IČO) sa spájajú s predchodcom, inak by preregistrácia vyšla ako strata všetkých družstiev.</w:t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0F172A"/>
          <w:sz w:val="30"/>
          <w:szCs w:val="30"/>
        </w:rPr>
        <w:t xml:space="preserve">1. Koľko klubov odstúpilo — a kedy</w:t>
      </w:r>
    </w:p>
    <w:tbl>
      <w:tblPr>
        <w:tblW w:type="dxa" w:w="9070"/>
        <w:tblBorders>
          <w:top w:val="single" w:color="E2E8F0" w:sz="4"/>
          <w:left w:val="none"/>
          <w:bottom w:val="single" w:color="E2E8F0" w:sz="4"/>
          <w:right w:val="none"/>
          <w:insideH w:val="single" w:color="E2E8F0" w:sz="2"/>
          <w:insideV w:val="none"/>
        </w:tblBorders>
      </w:tblPr>
      <w:tblGrid>
        <w:gridCol w:w="2270"/>
        <w:gridCol w:w="2600"/>
        <w:gridCol w:w="2100"/>
        <w:gridCol w:w="2100"/>
      </w:tblGrid>
      <w:tr>
        <w:trPr>
          <w:tblHeader/>
        </w:trPr>
        <w:tc>
          <w:tcPr>
            <w:tcW w:type="dxa" w:w="100"/>
            <w:shd w:fill="EEF2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9"/>
                <w:szCs w:val="19"/>
              </w:rPr>
              <w:t xml:space="preserve">Sezóna</w:t>
            </w:r>
          </w:p>
        </w:tc>
        <w:tc>
          <w:tcPr>
            <w:tcW w:type="dxa" w:w="100"/>
            <w:shd w:fill="EEF2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9"/>
                <w:szCs w:val="19"/>
              </w:rPr>
              <w:t xml:space="preserve">Odstúpených klubov</w:t>
            </w:r>
          </w:p>
        </w:tc>
        <w:tc>
          <w:tcPr>
            <w:tcW w:type="dxa" w:w="100"/>
            <w:shd w:fill="EEF2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9"/>
                <w:szCs w:val="19"/>
              </w:rPr>
              <w:t xml:space="preserve">Z nich sa vrátilo</w:t>
            </w:r>
          </w:p>
        </w:tc>
        <w:tc>
          <w:tcPr>
            <w:tcW w:type="dxa" w:w="100"/>
            <w:shd w:fill="EEF2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9"/>
                <w:szCs w:val="19"/>
              </w:rPr>
              <w:t xml:space="preserve">Z nich zaniklo</w:t>
            </w:r>
          </w:p>
        </w:tc>
      </w:tr>
      <w:tr>
        <w:tc>
          <w:tcPr>
            <w:tcW w:type="dxa" w:w="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2015/2016</w:t>
            </w:r>
          </w:p>
        </w:tc>
        <w:tc>
          <w:tcPr>
            <w:tcW w:type="dxa" w:w="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72</w:t>
            </w:r>
          </w:p>
        </w:tc>
        <w:tc>
          <w:tcPr>
            <w:tcW w:type="dxa" w:w="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16</w:t>
            </w:r>
          </w:p>
        </w:tc>
        <w:tc>
          <w:tcPr>
            <w:tcW w:type="dxa" w:w="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56</w:t>
            </w:r>
          </w:p>
        </w:tc>
      </w:tr>
      <w:tr>
        <w:tc>
          <w:tcPr>
            <w:tcW w:type="dxa" w:w="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2016/2017</w:t>
            </w:r>
          </w:p>
        </w:tc>
        <w:tc>
          <w:tcPr>
            <w:tcW w:type="dxa" w:w="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78</w:t>
            </w:r>
          </w:p>
        </w:tc>
        <w:tc>
          <w:tcPr>
            <w:tcW w:type="dxa" w:w="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24</w:t>
            </w:r>
          </w:p>
        </w:tc>
        <w:tc>
          <w:tcPr>
            <w:tcW w:type="dxa" w:w="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54</w:t>
            </w:r>
          </w:p>
        </w:tc>
      </w:tr>
      <w:tr>
        <w:tc>
          <w:tcPr>
            <w:tcW w:type="dxa" w:w="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2017/2018</w:t>
            </w:r>
          </w:p>
        </w:tc>
        <w:tc>
          <w:tcPr>
            <w:tcW w:type="dxa" w:w="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58</w:t>
            </w:r>
          </w:p>
        </w:tc>
        <w:tc>
          <w:tcPr>
            <w:tcW w:type="dxa" w:w="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20</w:t>
            </w:r>
          </w:p>
        </w:tc>
        <w:tc>
          <w:tcPr>
            <w:tcW w:type="dxa" w:w="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38</w:t>
            </w:r>
          </w:p>
        </w:tc>
      </w:tr>
      <w:tr>
        <w:tc>
          <w:tcPr>
            <w:tcW w:type="dxa" w:w="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2018/2019</w:t>
            </w:r>
          </w:p>
        </w:tc>
        <w:tc>
          <w:tcPr>
            <w:tcW w:type="dxa" w:w="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70</w:t>
            </w:r>
          </w:p>
        </w:tc>
        <w:tc>
          <w:tcPr>
            <w:tcW w:type="dxa" w:w="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27</w:t>
            </w:r>
          </w:p>
        </w:tc>
        <w:tc>
          <w:tcPr>
            <w:tcW w:type="dxa" w:w="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43</w:t>
            </w:r>
          </w:p>
        </w:tc>
      </w:tr>
      <w:tr>
        <w:tc>
          <w:tcPr>
            <w:tcW w:type="dxa" w:w="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2019/2020</w:t>
            </w:r>
          </w:p>
        </w:tc>
        <w:tc>
          <w:tcPr>
            <w:tcW w:type="dxa" w:w="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76</w:t>
            </w:r>
          </w:p>
        </w:tc>
        <w:tc>
          <w:tcPr>
            <w:tcW w:type="dxa" w:w="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15</w:t>
            </w:r>
          </w:p>
        </w:tc>
        <w:tc>
          <w:tcPr>
            <w:tcW w:type="dxa" w:w="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61</w:t>
            </w:r>
          </w:p>
        </w:tc>
      </w:tr>
      <w:tr>
        <w:tc>
          <w:tcPr>
            <w:tcW w:type="dxa" w:w="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2020/2021</w:t>
            </w:r>
          </w:p>
        </w:tc>
        <w:tc>
          <w:tcPr>
            <w:tcW w:type="dxa" w:w="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63</w:t>
            </w:r>
          </w:p>
        </w:tc>
        <w:tc>
          <w:tcPr>
            <w:tcW w:type="dxa" w:w="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11</w:t>
            </w:r>
          </w:p>
        </w:tc>
        <w:tc>
          <w:tcPr>
            <w:tcW w:type="dxa" w:w="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52</w:t>
            </w:r>
          </w:p>
        </w:tc>
      </w:tr>
      <w:tr>
        <w:tc>
          <w:tcPr>
            <w:tcW w:type="dxa" w:w="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2021/2022</w:t>
            </w:r>
          </w:p>
        </w:tc>
        <w:tc>
          <w:tcPr>
            <w:tcW w:type="dxa" w:w="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80</w:t>
            </w:r>
          </w:p>
        </w:tc>
        <w:tc>
          <w:tcPr>
            <w:tcW w:type="dxa" w:w="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18</w:t>
            </w:r>
          </w:p>
        </w:tc>
        <w:tc>
          <w:tcPr>
            <w:tcW w:type="dxa" w:w="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62</w:t>
            </w:r>
          </w:p>
        </w:tc>
      </w:tr>
      <w:tr>
        <w:tc>
          <w:tcPr>
            <w:tcW w:type="dxa" w:w="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2022/2023</w:t>
            </w:r>
          </w:p>
        </w:tc>
        <w:tc>
          <w:tcPr>
            <w:tcW w:type="dxa" w:w="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59</w:t>
            </w:r>
          </w:p>
        </w:tc>
        <w:tc>
          <w:tcPr>
            <w:tcW w:type="dxa" w:w="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15</w:t>
            </w:r>
          </w:p>
        </w:tc>
        <w:tc>
          <w:tcPr>
            <w:tcW w:type="dxa" w:w="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44</w:t>
            </w:r>
          </w:p>
        </w:tc>
      </w:tr>
      <w:tr>
        <w:tc>
          <w:tcPr>
            <w:tcW w:type="dxa" w:w="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2023/2024</w:t>
            </w:r>
          </w:p>
        </w:tc>
        <w:tc>
          <w:tcPr>
            <w:tcW w:type="dxa" w:w="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53</w:t>
            </w:r>
          </w:p>
        </w:tc>
        <w:tc>
          <w:tcPr>
            <w:tcW w:type="dxa" w:w="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8</w:t>
            </w:r>
          </w:p>
        </w:tc>
        <w:tc>
          <w:tcPr>
            <w:tcW w:type="dxa" w:w="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45</w:t>
            </w:r>
          </w:p>
        </w:tc>
      </w:tr>
      <w:tr>
        <w:tc>
          <w:tcPr>
            <w:tcW w:type="dxa" w:w="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2024/2025</w:t>
            </w:r>
          </w:p>
        </w:tc>
        <w:tc>
          <w:tcPr>
            <w:tcW w:type="dxa" w:w="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51</w:t>
            </w:r>
          </w:p>
        </w:tc>
        <w:tc>
          <w:tcPr>
            <w:tcW w:type="dxa" w:w="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7</w:t>
            </w:r>
          </w:p>
        </w:tc>
        <w:tc>
          <w:tcPr>
            <w:tcW w:type="dxa" w:w="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44</w:t>
            </w:r>
          </w:p>
        </w:tc>
      </w:tr>
      <w:tr>
        <w:tc>
          <w:tcPr>
            <w:tcW w:type="dxa" w:w="100"/>
            <w:shd w:fill="FDEC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9"/>
                <w:szCs w:val="19"/>
              </w:rPr>
              <w:t xml:space="preserve">2025/2026</w:t>
            </w:r>
          </w:p>
        </w:tc>
        <w:tc>
          <w:tcPr>
            <w:tcW w:type="dxa" w:w="100"/>
            <w:shd w:fill="FDEC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9"/>
                <w:szCs w:val="19"/>
              </w:rPr>
              <w:t xml:space="preserve">42</w:t>
            </w:r>
          </w:p>
        </w:tc>
        <w:tc>
          <w:tcPr>
            <w:tcW w:type="dxa" w:w="100"/>
            <w:shd w:fill="FDEC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9"/>
                <w:szCs w:val="19"/>
              </w:rPr>
              <w:t xml:space="preserve">zatiaľ 0</w:t>
            </w:r>
          </w:p>
        </w:tc>
        <w:tc>
          <w:tcPr>
            <w:tcW w:type="dxa" w:w="100"/>
            <w:shd w:fill="FDEC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9"/>
                <w:szCs w:val="19"/>
              </w:rPr>
              <w:t xml:space="preserve">zatiaľ nevieme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p>
      <w:pPr>
        <w:spacing w:after="140" w:line="276"/>
      </w:pPr>
      <w:r>
        <w:rPr>
          <w:rFonts w:ascii="Calibri" w:cs="Calibri" w:eastAsia="Calibri" w:hAnsi="Calibri"/>
          <w:b/>
          <w:bCs/>
        </w:rPr>
        <w:t xml:space="preserve">Priemer jedenástich sezón je 63,8 klubu.</w:t>
      </w:r>
      <w:r>
        <w:rPr>
          <w:rFonts w:ascii="Calibri" w:cs="Calibri" w:eastAsia="Calibri" w:hAnsi="Calibri"/>
        </w:rPr>
        <w:t xml:space="preserve"> V sezóne 2025/2026 odstúpilo </w:t>
      </w:r>
      <w:r>
        <w:rPr>
          <w:rFonts w:ascii="Calibri" w:cs="Calibri" w:eastAsia="Calibri" w:hAnsi="Calibri"/>
          <w:b/>
          <w:bCs/>
        </w:rPr>
        <w:t xml:space="preserve">42 klubov — najmenej za celé sledované obdobie.</w:t>
      </w:r>
      <w:r>
        <w:rPr>
          <w:rFonts w:ascii="Calibri" w:cs="Calibri" w:eastAsia="Calibri" w:hAnsi="Calibri"/>
        </w:rPr>
        <w:t xml:space="preserve"> Tri najnižšie hodnoty v celom rade sú tri posledné sezóny: 53, 51, 42.</w:t>
      </w:r>
    </w:p>
    <w:p>
      <w:pPr>
        <w:pBdr>
          <w:top w:val="single" w:color="E2E8F0" w:sz="4" w:space="8"/>
          <w:bottom w:val="single" w:color="E2E8F0" w:sz="4" w:space="8"/>
          <w:left w:val="single" w:color="1450DF" w:sz="18" w:space="12"/>
          <w:right w:val="single" w:color="E2E8F0" w:sz="4" w:space="8"/>
        </w:pBdr>
        <w:shd w:fill="F8FAFC" w:val="clear"/>
        <w:spacing w:after="180" w:before="120" w:line="288"/>
        <w:ind w:left="220" w:right="220"/>
      </w:pPr>
      <w:r>
        <w:rPr>
          <w:rFonts w:ascii="Calibri" w:cs="Calibri" w:eastAsia="Calibri" w:hAnsi="Calibri"/>
          <w:i/>
          <w:iCs/>
          <w:color w:val="0F172A"/>
          <w:sz w:val="22"/>
          <w:szCs w:val="22"/>
        </w:rPr>
        <w:t xml:space="preserve">„V poslednej sezóne odstúpilo 42 klubov. To je najnižší počet za jedenásť sezón, pri priemere 63,8 — a tri najnižšie hodnoty v celom rade sú tri posledné sezóny.“</w:t>
      </w:r>
    </w:p>
    <w:p>
      <w:pPr>
        <w:spacing w:after="140" w:line="276"/>
      </w:pPr>
      <w:r>
        <w:rPr>
          <w:rFonts w:ascii="Calibri" w:cs="Calibri" w:eastAsia="Calibri" w:hAnsi="Calibri"/>
        </w:rPr>
        <w:t xml:space="preserve">Ak by za odstupovaním stáli zmeny v RaPP alebo nevyplatené záväzky, čakali by sme v poslednej sezóne </w:t>
      </w:r>
      <w:r>
        <w:rPr>
          <w:rFonts w:ascii="Calibri" w:cs="Calibri" w:eastAsia="Calibri" w:hAnsi="Calibri"/>
          <w:b/>
          <w:bCs/>
        </w:rPr>
        <w:t xml:space="preserve">skok nahor</w:t>
      </w:r>
      <w:r>
        <w:rPr>
          <w:rFonts w:ascii="Calibri" w:cs="Calibri" w:eastAsia="Calibri" w:hAnsi="Calibri"/>
        </w:rPr>
        <w:t xml:space="preserve">. Namerané je presne opačné číslo.</w:t>
      </w:r>
    </w:p>
    <w:p>
      <w:pPr>
        <w:spacing w:after="60" w:before="140"/>
        <w:jc w:val="center"/>
      </w:pPr>
      <w:r>
        <w:drawing>
          <wp:inline distT="0" distB="0" distL="0" distR="0">
            <wp:extent cx="4381500" cy="2466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7"/>
          <w:szCs w:val="17"/>
        </w:rPr>
        <w:t xml:space="preserve">Graf 1 — Odstúpené kluby po sezónach. Zelený stĺpec je posledná sezóna, prerušovaná čiara priemer.</w:t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0F172A"/>
          <w:sz w:val="30"/>
          <w:szCs w:val="30"/>
        </w:rPr>
        <w:t xml:space="preserve">2. Aké to boli kluby</w:t>
      </w:r>
    </w:p>
    <w:p>
      <w:pPr>
        <w:spacing w:after="140" w:line="276"/>
      </w:pPr>
      <w:r>
        <w:rPr>
          <w:rFonts w:ascii="Calibri" w:cs="Calibri" w:eastAsia="Calibri" w:hAnsi="Calibri"/>
        </w:rPr>
        <w:t xml:space="preserve">Profil 42 klubov, ktoré odstúpili v sezóne 2025/2026:</w:t>
      </w:r>
    </w:p>
    <w:tbl>
      <w:tblPr>
        <w:tblW w:type="dxa" w:w="9070"/>
        <w:tblBorders>
          <w:top w:val="single" w:color="E2E8F0" w:sz="4"/>
          <w:left w:val="none"/>
          <w:bottom w:val="single" w:color="E2E8F0" w:sz="4"/>
          <w:right w:val="none"/>
          <w:insideH w:val="single" w:color="E2E8F0" w:sz="2"/>
          <w:insideV w:val="none"/>
        </w:tblBorders>
      </w:tblPr>
      <w:tblGrid>
        <w:gridCol w:w="6470"/>
        <w:gridCol w:w="2600"/>
      </w:tblGrid>
      <w:tr>
        <w:trPr>
          <w:tblHeader/>
        </w:trPr>
        <w:tc>
          <w:tcPr>
            <w:tcW w:type="dxa" w:w="100"/>
            <w:shd w:fill="EEF2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9"/>
                <w:szCs w:val="19"/>
              </w:rPr>
              <w:t xml:space="preserve">Ukazovateľ</w:t>
            </w:r>
          </w:p>
        </w:tc>
        <w:tc>
          <w:tcPr>
            <w:tcW w:type="dxa" w:w="100"/>
            <w:shd w:fill="EEF2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9"/>
                <w:szCs w:val="19"/>
              </w:rPr>
              <w:t xml:space="preserve">Hodnota</w:t>
            </w:r>
          </w:p>
        </w:tc>
      </w:tr>
      <w:tr>
        <w:tc>
          <w:tcPr>
            <w:tcW w:type="dxa" w:w="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Priemerný počet družstiev v poslednej odohranej sezóne</w:t>
            </w:r>
          </w:p>
        </w:tc>
        <w:tc>
          <w:tcPr>
            <w:tcW w:type="dxa" w:w="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9"/>
                <w:szCs w:val="19"/>
              </w:rPr>
              <w:t xml:space="preserve">1,45</w:t>
            </w:r>
          </w:p>
        </w:tc>
      </w:tr>
      <w:tr>
        <w:tc>
          <w:tcPr>
            <w:tcW w:type="dxa" w:w="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Malo jediné družstvo</w:t>
            </w:r>
          </w:p>
        </w:tc>
        <w:tc>
          <w:tcPr>
            <w:tcW w:type="dxa" w:w="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9"/>
                <w:szCs w:val="19"/>
              </w:rPr>
              <w:t xml:space="preserve">27 zo 42</w:t>
            </w:r>
          </w:p>
        </w:tc>
      </w:tr>
      <w:tr>
        <w:tc>
          <w:tcPr>
            <w:tcW w:type="dxa" w:w="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Malo dve družstvá</w:t>
            </w:r>
          </w:p>
        </w:tc>
        <w:tc>
          <w:tcPr>
            <w:tcW w:type="dxa" w:w="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12</w:t>
            </w:r>
          </w:p>
        </w:tc>
      </w:tr>
      <w:tr>
        <w:tc>
          <w:tcPr>
            <w:tcW w:type="dxa" w:w="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Malo tri a viac</w:t>
            </w:r>
          </w:p>
        </w:tc>
        <w:tc>
          <w:tcPr>
            <w:tcW w:type="dxa" w:w="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Priemerný počet sezón, ktoré klub odohral</w:t>
            </w:r>
          </w:p>
        </w:tc>
        <w:tc>
          <w:tcPr>
            <w:tcW w:type="dxa" w:w="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9"/>
                <w:szCs w:val="19"/>
              </w:rPr>
              <w:t xml:space="preserve">9,6</w:t>
            </w:r>
          </w:p>
        </w:tc>
      </w:tr>
      <w:tr>
        <w:tc>
          <w:tcPr>
            <w:tcW w:type="dxa" w:w="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Existovalo 9 a viac sezón</w:t>
            </w:r>
          </w:p>
        </w:tc>
        <w:tc>
          <w:tcPr>
            <w:tcW w:type="dxa" w:w="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9"/>
                <w:szCs w:val="19"/>
              </w:rPr>
              <w:t xml:space="preserve">33 zo 42</w:t>
            </w:r>
          </w:p>
        </w:tc>
      </w:tr>
      <w:tr>
        <w:tc>
          <w:tcPr>
            <w:tcW w:type="dxa" w:w="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Malo len dospelých (žiadnu mládež)</w:t>
            </w:r>
          </w:p>
        </w:tc>
        <w:tc>
          <w:tcPr>
            <w:tcW w:type="dxa" w:w="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16</w:t>
            </w:r>
          </w:p>
        </w:tc>
      </w:tr>
      <w:tr>
        <w:tc>
          <w:tcPr>
            <w:tcW w:type="dxa" w:w="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Malo len mládež (žiadnych dospelých)</w:t>
            </w:r>
          </w:p>
        </w:tc>
        <w:tc>
          <w:tcPr>
            <w:tcW w:type="dxa" w:w="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15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p>
      <w:pPr>
        <w:spacing w:after="140" w:line="276"/>
      </w:pPr>
      <w:r>
        <w:rPr>
          <w:rFonts w:ascii="Calibri" w:cs="Calibri" w:eastAsia="Calibri" w:hAnsi="Calibri"/>
        </w:rPr>
        <w:t xml:space="preserve">Najväčší z nich mal štyri družstvá (ŠK fan-club Púchov), ďalšie tri po troch. </w:t>
      </w:r>
      <w:r>
        <w:rPr>
          <w:rFonts w:ascii="Calibri" w:cs="Calibri" w:eastAsia="Calibri" w:hAnsi="Calibri"/>
          <w:b/>
          <w:bCs/>
        </w:rPr>
        <w:t xml:space="preserve">Ani jeden veľký klub.</w:t>
      </w:r>
    </w:p>
    <w:p>
      <w:pPr>
        <w:spacing w:after="140" w:line="276"/>
      </w:pPr>
      <w:r>
        <w:rPr>
          <w:rFonts w:ascii="Calibri" w:cs="Calibri" w:eastAsia="Calibri" w:hAnsi="Calibri"/>
        </w:rPr>
        <w:t xml:space="preserve">Obraz je jednoznačný: </w:t>
      </w:r>
      <w:r>
        <w:rPr>
          <w:rFonts w:ascii="Calibri" w:cs="Calibri" w:eastAsia="Calibri" w:hAnsi="Calibri"/>
          <w:b/>
          <w:bCs/>
        </w:rPr>
        <w:t xml:space="preserve">odstupujú malé, staré klubíky s jedným alebo dvoma družstvami.</w:t>
      </w:r>
      <w:r>
        <w:rPr>
          <w:rFonts w:ascii="Calibri" w:cs="Calibri" w:eastAsia="Calibri" w:hAnsi="Calibri"/>
        </w:rPr>
        <w:t xml:space="preserve"> Nie sú to nové kluby, ktoré by sa po roku vzdali — dve tretiny z nich hrali deväť a viac sezón. A nie sú to kluby, ktoré by niesli mládežnícku základňu regiónu.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450DF"/>
          <w:sz w:val="24"/>
          <w:szCs w:val="24"/>
        </w:rPr>
        <w:t xml:space="preserve">Kategórie, v ktorých mali družstvo</w:t>
      </w:r>
    </w:p>
    <w:tbl>
      <w:tblPr>
        <w:tblW w:type="dxa" w:w="9070"/>
        <w:tblBorders>
          <w:top w:val="single" w:color="E2E8F0" w:sz="4"/>
          <w:left w:val="none"/>
          <w:bottom w:val="single" w:color="E2E8F0" w:sz="4"/>
          <w:right w:val="none"/>
          <w:insideH w:val="single" w:color="E2E8F0" w:sz="2"/>
          <w:insideV w:val="none"/>
        </w:tblBorders>
      </w:tblPr>
      <w:tblGrid>
        <w:gridCol w:w="2270"/>
        <w:gridCol w:w="1700"/>
        <w:gridCol w:w="1700"/>
        <w:gridCol w:w="1700"/>
        <w:gridCol w:w="1700"/>
      </w:tblGrid>
      <w:tr>
        <w:trPr>
          <w:tblHeader/>
        </w:trPr>
        <w:tc>
          <w:tcPr>
            <w:tcW w:type="dxa" w:w="100"/>
            <w:shd w:fill="EEF2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9"/>
                <w:szCs w:val="19"/>
              </w:rPr>
              <w:t xml:space="preserve">Sezóna</w:t>
            </w:r>
          </w:p>
        </w:tc>
        <w:tc>
          <w:tcPr>
            <w:tcW w:type="dxa" w:w="100"/>
            <w:shd w:fill="EEF2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9"/>
                <w:szCs w:val="19"/>
              </w:rPr>
              <w:t xml:space="preserve">Prípravka</w:t>
            </w:r>
          </w:p>
        </w:tc>
        <w:tc>
          <w:tcPr>
            <w:tcW w:type="dxa" w:w="100"/>
            <w:shd w:fill="EEF2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9"/>
                <w:szCs w:val="19"/>
              </w:rPr>
              <w:t xml:space="preserve">Žiaci</w:t>
            </w:r>
          </w:p>
        </w:tc>
        <w:tc>
          <w:tcPr>
            <w:tcW w:type="dxa" w:w="100"/>
            <w:shd w:fill="EEF2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9"/>
                <w:szCs w:val="19"/>
              </w:rPr>
              <w:t xml:space="preserve">Dorast</w:t>
            </w:r>
          </w:p>
        </w:tc>
        <w:tc>
          <w:tcPr>
            <w:tcW w:type="dxa" w:w="100"/>
            <w:shd w:fill="EEF2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9"/>
                <w:szCs w:val="19"/>
              </w:rPr>
              <w:t xml:space="preserve">Dospelí</w:t>
            </w:r>
          </w:p>
        </w:tc>
      </w:tr>
      <w:tr>
        <w:tc>
          <w:tcPr>
            <w:tcW w:type="dxa" w:w="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2015/2016</w:t>
            </w:r>
          </w:p>
        </w:tc>
        <w:tc>
          <w:tcPr>
            <w:tcW w:type="dxa" w:w="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5</w:t>
            </w:r>
          </w:p>
        </w:tc>
        <w:tc>
          <w:tcPr>
            <w:tcW w:type="dxa" w:w="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17</w:t>
            </w:r>
          </w:p>
        </w:tc>
        <w:tc>
          <w:tcPr>
            <w:tcW w:type="dxa" w:w="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19</w:t>
            </w:r>
          </w:p>
        </w:tc>
        <w:tc>
          <w:tcPr>
            <w:tcW w:type="dxa" w:w="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62</w:t>
            </w:r>
          </w:p>
        </w:tc>
      </w:tr>
      <w:tr>
        <w:tc>
          <w:tcPr>
            <w:tcW w:type="dxa" w:w="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2019/2020</w:t>
            </w:r>
          </w:p>
        </w:tc>
        <w:tc>
          <w:tcPr>
            <w:tcW w:type="dxa" w:w="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4</w:t>
            </w:r>
          </w:p>
        </w:tc>
        <w:tc>
          <w:tcPr>
            <w:tcW w:type="dxa" w:w="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18</w:t>
            </w:r>
          </w:p>
        </w:tc>
        <w:tc>
          <w:tcPr>
            <w:tcW w:type="dxa" w:w="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11</w:t>
            </w:r>
          </w:p>
        </w:tc>
        <w:tc>
          <w:tcPr>
            <w:tcW w:type="dxa" w:w="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64</w:t>
            </w:r>
          </w:p>
        </w:tc>
      </w:tr>
      <w:tr>
        <w:tc>
          <w:tcPr>
            <w:tcW w:type="dxa" w:w="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2021/2022</w:t>
            </w:r>
          </w:p>
        </w:tc>
        <w:tc>
          <w:tcPr>
            <w:tcW w:type="dxa" w:w="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11</w:t>
            </w:r>
          </w:p>
        </w:tc>
        <w:tc>
          <w:tcPr>
            <w:tcW w:type="dxa" w:w="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27</w:t>
            </w:r>
          </w:p>
        </w:tc>
        <w:tc>
          <w:tcPr>
            <w:tcW w:type="dxa" w:w="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8</w:t>
            </w:r>
          </w:p>
        </w:tc>
        <w:tc>
          <w:tcPr>
            <w:tcW w:type="dxa" w:w="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66</w:t>
            </w:r>
          </w:p>
        </w:tc>
      </w:tr>
      <w:tr>
        <w:tc>
          <w:tcPr>
            <w:tcW w:type="dxa" w:w="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2023/2024</w:t>
            </w:r>
          </w:p>
        </w:tc>
        <w:tc>
          <w:tcPr>
            <w:tcW w:type="dxa" w:w="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15</w:t>
            </w:r>
          </w:p>
        </w:tc>
        <w:tc>
          <w:tcPr>
            <w:tcW w:type="dxa" w:w="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15</w:t>
            </w:r>
          </w:p>
        </w:tc>
        <w:tc>
          <w:tcPr>
            <w:tcW w:type="dxa" w:w="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8</w:t>
            </w:r>
          </w:p>
        </w:tc>
        <w:tc>
          <w:tcPr>
            <w:tcW w:type="dxa" w:w="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44</w:t>
            </w:r>
          </w:p>
        </w:tc>
      </w:tr>
      <w:tr>
        <w:tc>
          <w:tcPr>
            <w:tcW w:type="dxa" w:w="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2024/2025</w:t>
            </w:r>
          </w:p>
        </w:tc>
        <w:tc>
          <w:tcPr>
            <w:tcW w:type="dxa" w:w="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19</w:t>
            </w:r>
          </w:p>
        </w:tc>
        <w:tc>
          <w:tcPr>
            <w:tcW w:type="dxa" w:w="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14</w:t>
            </w:r>
          </w:p>
        </w:tc>
        <w:tc>
          <w:tcPr>
            <w:tcW w:type="dxa" w:w="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6</w:t>
            </w:r>
          </w:p>
        </w:tc>
        <w:tc>
          <w:tcPr>
            <w:tcW w:type="dxa" w:w="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32</w:t>
            </w:r>
          </w:p>
        </w:tc>
      </w:tr>
      <w:tr>
        <w:tc>
          <w:tcPr>
            <w:tcW w:type="dxa" w:w="100"/>
            <w:shd w:fill="FDEC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9"/>
                <w:szCs w:val="19"/>
              </w:rPr>
              <w:t xml:space="preserve">2025/2026</w:t>
            </w:r>
          </w:p>
        </w:tc>
        <w:tc>
          <w:tcPr>
            <w:tcW w:type="dxa" w:w="100"/>
            <w:shd w:fill="FDEC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9"/>
                <w:szCs w:val="19"/>
              </w:rPr>
              <w:t xml:space="preserve">13</w:t>
            </w:r>
          </w:p>
        </w:tc>
        <w:tc>
          <w:tcPr>
            <w:tcW w:type="dxa" w:w="100"/>
            <w:shd w:fill="FDEC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9"/>
                <w:szCs w:val="19"/>
              </w:rPr>
              <w:t xml:space="preserve">15</w:t>
            </w:r>
          </w:p>
        </w:tc>
        <w:tc>
          <w:tcPr>
            <w:tcW w:type="dxa" w:w="100"/>
            <w:shd w:fill="FDEC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9"/>
                <w:szCs w:val="19"/>
              </w:rPr>
              <w:t xml:space="preserve">2</w:t>
            </w:r>
          </w:p>
        </w:tc>
        <w:tc>
          <w:tcPr>
            <w:tcW w:type="dxa" w:w="100"/>
            <w:shd w:fill="FDEC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9"/>
                <w:szCs w:val="19"/>
              </w:rPr>
              <w:t xml:space="preserve">27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p>
      <w:pPr>
        <w:spacing w:after="140" w:line="276"/>
      </w:pPr>
      <w:r>
        <w:rPr>
          <w:rFonts w:ascii="Calibri" w:cs="Calibri" w:eastAsia="Calibri" w:hAnsi="Calibri"/>
          <w:b/>
          <w:bCs/>
        </w:rPr>
        <w:t xml:space="preserve">Odstupujú kluby dospelých — a aj tých je čoraz menej.</w:t>
      </w:r>
      <w:r>
        <w:rPr>
          <w:rFonts w:ascii="Calibri" w:cs="Calibri" w:eastAsia="Calibri" w:hAnsi="Calibri"/>
        </w:rPr>
        <w:t xml:space="preserve"> Klubov s družstvom dospelých medzi odstúpenými ubudlo zo 62 – 70 na 27, dorastu z 19 na 2.</w:t>
      </w:r>
    </w:p>
    <w:p>
      <w:pPr>
        <w:spacing w:after="60" w:before="140"/>
        <w:jc w:val="center"/>
      </w:pPr>
      <w:r>
        <w:drawing>
          <wp:inline distT="0" distB="0" distL="0" distR="0">
            <wp:extent cx="4381500" cy="2466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7"/>
          <w:szCs w:val="17"/>
        </w:rPr>
        <w:t xml:space="preserve">Graf 2 — Aké družstvá mali odstúpené kluby, keď naposledy hrali. Klub mohol mať družstvá vo viacerých kategóriách naraz.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450DF"/>
          <w:sz w:val="24"/>
          <w:szCs w:val="24"/>
        </w:rPr>
        <w:t xml:space="preserve">História: scvrkávali sa postupne, nezmizli zrazu</w:t>
      </w:r>
    </w:p>
    <w:p>
      <w:pPr>
        <w:spacing w:after="140" w:line="276"/>
      </w:pPr>
      <w:r>
        <w:rPr>
          <w:rFonts w:ascii="Calibri" w:cs="Calibri" w:eastAsia="Calibri" w:hAnsi="Calibri"/>
        </w:rPr>
        <w:t xml:space="preserve">Tá istá skupina 42 klubov, ktorá odstúpila v 2025/2026, mala v predchádzajúcich sezónach:</w:t>
      </w:r>
    </w:p>
    <w:tbl>
      <w:tblPr>
        <w:tblW w:type="dxa" w:w="9070"/>
        <w:tblBorders>
          <w:top w:val="single" w:color="E2E8F0" w:sz="4"/>
          <w:left w:val="none"/>
          <w:bottom w:val="single" w:color="E2E8F0" w:sz="4"/>
          <w:right w:val="none"/>
          <w:insideH w:val="single" w:color="E2E8F0" w:sz="2"/>
          <w:insideV w:val="none"/>
        </w:tblBorders>
      </w:tblPr>
      <w:tblGrid>
        <w:gridCol w:w="1870"/>
        <w:gridCol w:w="1840"/>
        <w:gridCol w:w="1340"/>
        <w:gridCol w:w="1340"/>
        <w:gridCol w:w="1340"/>
        <w:gridCol w:w="1340"/>
      </w:tblGrid>
      <w:tr>
        <w:trPr>
          <w:tblHeader/>
        </w:trPr>
        <w:tc>
          <w:tcPr>
            <w:tcW w:type="dxa" w:w="100"/>
            <w:shd w:fill="EEF2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9"/>
                <w:szCs w:val="19"/>
              </w:rPr>
              <w:t xml:space="preserve">Sezóna</w:t>
            </w:r>
          </w:p>
        </w:tc>
        <w:tc>
          <w:tcPr>
            <w:tcW w:type="dxa" w:w="100"/>
            <w:shd w:fill="EEF2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9"/>
                <w:szCs w:val="19"/>
              </w:rPr>
              <w:t xml:space="preserve">Hralo klubov</w:t>
            </w:r>
          </w:p>
        </w:tc>
        <w:tc>
          <w:tcPr>
            <w:tcW w:type="dxa" w:w="100"/>
            <w:shd w:fill="EEF2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9"/>
                <w:szCs w:val="19"/>
              </w:rPr>
              <w:t xml:space="preserve">Prípravka</w:t>
            </w:r>
          </w:p>
        </w:tc>
        <w:tc>
          <w:tcPr>
            <w:tcW w:type="dxa" w:w="100"/>
            <w:shd w:fill="EEF2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9"/>
                <w:szCs w:val="19"/>
              </w:rPr>
              <w:t xml:space="preserve">Žiaci</w:t>
            </w:r>
          </w:p>
        </w:tc>
        <w:tc>
          <w:tcPr>
            <w:tcW w:type="dxa" w:w="100"/>
            <w:shd w:fill="EEF2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9"/>
                <w:szCs w:val="19"/>
              </w:rPr>
              <w:t xml:space="preserve">Dorast</w:t>
            </w:r>
          </w:p>
        </w:tc>
        <w:tc>
          <w:tcPr>
            <w:tcW w:type="dxa" w:w="100"/>
            <w:shd w:fill="EEF2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9"/>
                <w:szCs w:val="19"/>
              </w:rPr>
              <w:t xml:space="preserve">Dospelí</w:t>
            </w:r>
          </w:p>
        </w:tc>
      </w:tr>
      <w:tr>
        <w:tc>
          <w:tcPr>
            <w:tcW w:type="dxa" w:w="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2022/2023</w:t>
            </w:r>
          </w:p>
        </w:tc>
        <w:tc>
          <w:tcPr>
            <w:tcW w:type="dxa" w:w="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40</w:t>
            </w:r>
          </w:p>
        </w:tc>
        <w:tc>
          <w:tcPr>
            <w:tcW w:type="dxa" w:w="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24</w:t>
            </w:r>
          </w:p>
        </w:tc>
        <w:tc>
          <w:tcPr>
            <w:tcW w:type="dxa" w:w="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19</w:t>
            </w:r>
          </w:p>
        </w:tc>
        <w:tc>
          <w:tcPr>
            <w:tcW w:type="dxa" w:w="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2</w:t>
            </w:r>
          </w:p>
        </w:tc>
        <w:tc>
          <w:tcPr>
            <w:tcW w:type="dxa" w:w="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34</w:t>
            </w:r>
          </w:p>
        </w:tc>
      </w:tr>
      <w:tr>
        <w:tc>
          <w:tcPr>
            <w:tcW w:type="dxa" w:w="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2023/2024</w:t>
            </w:r>
          </w:p>
        </w:tc>
        <w:tc>
          <w:tcPr>
            <w:tcW w:type="dxa" w:w="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40</w:t>
            </w:r>
          </w:p>
        </w:tc>
        <w:tc>
          <w:tcPr>
            <w:tcW w:type="dxa" w:w="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19</w:t>
            </w:r>
          </w:p>
        </w:tc>
        <w:tc>
          <w:tcPr>
            <w:tcW w:type="dxa" w:w="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16</w:t>
            </w:r>
          </w:p>
        </w:tc>
        <w:tc>
          <w:tcPr>
            <w:tcW w:type="dxa" w:w="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2</w:t>
            </w:r>
          </w:p>
        </w:tc>
        <w:tc>
          <w:tcPr>
            <w:tcW w:type="dxa" w:w="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29</w:t>
            </w:r>
          </w:p>
        </w:tc>
      </w:tr>
      <w:tr>
        <w:tc>
          <w:tcPr>
            <w:tcW w:type="dxa" w:w="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2024/2025</w:t>
            </w:r>
          </w:p>
        </w:tc>
        <w:tc>
          <w:tcPr>
            <w:tcW w:type="dxa" w:w="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42</w:t>
            </w:r>
          </w:p>
        </w:tc>
        <w:tc>
          <w:tcPr>
            <w:tcW w:type="dxa" w:w="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20</w:t>
            </w:r>
          </w:p>
        </w:tc>
        <w:tc>
          <w:tcPr>
            <w:tcW w:type="dxa" w:w="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20</w:t>
            </w:r>
          </w:p>
        </w:tc>
        <w:tc>
          <w:tcPr>
            <w:tcW w:type="dxa" w:w="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4</w:t>
            </w:r>
          </w:p>
        </w:tc>
        <w:tc>
          <w:tcPr>
            <w:tcW w:type="dxa" w:w="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28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p>
      <w:pPr>
        <w:spacing w:after="140" w:line="276"/>
      </w:pPr>
      <w:r>
        <w:rPr>
          <w:rFonts w:ascii="Calibri" w:cs="Calibri" w:eastAsia="Calibri" w:hAnsi="Calibri"/>
        </w:rPr>
        <w:t xml:space="preserve">Počet družstiev dospelých v tejto skupine klesal tri sezóny pred odstúpením (34 → 29 → 28). </w:t>
      </w:r>
      <w:r>
        <w:rPr>
          <w:rFonts w:ascii="Calibri" w:cs="Calibri" w:eastAsia="Calibri" w:hAnsi="Calibri"/>
          <w:b/>
          <w:bCs/>
        </w:rPr>
        <w:t xml:space="preserve">Nie je to náhly odchod, je to koniec dlhého scvrkávania.</w:t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0F172A"/>
          <w:sz w:val="30"/>
          <w:szCs w:val="30"/>
        </w:rPr>
        <w:t xml:space="preserve">3. Spoločný menovateľ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</w:rPr>
        <w:t xml:space="preserve">Dôvod odstúpenia v ISSF evidovaný nie je</w:t>
      </w:r>
      <w:r>
        <w:rPr>
          <w:rFonts w:ascii="Calibri" w:cs="Calibri" w:eastAsia="Calibri" w:hAnsi="Calibri"/>
        </w:rPr>
        <w:t xml:space="preserve"> — žiadne pole s dôvodom v dátach neexistuje. Čo sa dá povedať zodpovedne, je profil, a ten ukazuje na jednu vec: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</w:rPr>
        <w:t xml:space="preserve">Spoločný menovateľ je veľkosť, nie legislatíva.</w:t>
      </w:r>
      <w:r>
        <w:rPr>
          <w:rFonts w:ascii="Calibri" w:cs="Calibri" w:eastAsia="Calibri" w:hAnsi="Calibri"/>
        </w:rPr>
        <w:t xml:space="preserve"> Odstupujúci klub je malý klub s jedným družstvom dospelých, ktorý existoval dlho a postupne sa scvrkával. Zmeny v RaPP ani finančné vzťahy so SFZ toto vysvetliť nedokážu, pretože:</w:t>
      </w:r>
    </w:p>
    <w:p>
      <w:pPr>
        <w:spacing w:after="120" w:line="276"/>
        <w:ind w:left="280" w:hanging="280"/>
      </w:pPr>
      <w:r>
        <w:rPr>
          <w:rFonts w:ascii="Calibri" w:cs="Calibri" w:eastAsia="Calibri" w:hAnsi="Calibri"/>
          <w:b/>
          <w:bCs/>
          <w:color w:val="1450DF"/>
        </w:rPr>
        <w:t xml:space="preserve">1. </w:t>
      </w:r>
      <w:r>
        <w:rPr>
          <w:rFonts w:ascii="Calibri" w:cs="Calibri" w:eastAsia="Calibri" w:hAnsi="Calibri"/>
          <w:b/>
          <w:bCs/>
        </w:rPr>
        <w:t xml:space="preserve">Časovanie nesedí. </w:t>
      </w:r>
      <w:r>
        <w:rPr>
          <w:rFonts w:ascii="Calibri" w:cs="Calibri" w:eastAsia="Calibri" w:hAnsi="Calibri"/>
        </w:rPr>
        <w:t xml:space="preserve">Odstúpení je v poslednej sezóne najmenej za jedenásť rokov. Legislatívna zmena by sa musela prejaviť skokom, nie historickým minimom.</w:t>
      </w:r>
    </w:p>
    <w:p>
      <w:pPr>
        <w:spacing w:after="120" w:line="276"/>
        <w:ind w:left="280" w:hanging="280"/>
      </w:pPr>
      <w:r>
        <w:rPr>
          <w:rFonts w:ascii="Calibri" w:cs="Calibri" w:eastAsia="Calibri" w:hAnsi="Calibri"/>
          <w:b/>
          <w:bCs/>
          <w:color w:val="1450DF"/>
        </w:rPr>
        <w:t xml:space="preserve">2. </w:t>
      </w:r>
      <w:r>
        <w:rPr>
          <w:rFonts w:ascii="Calibri" w:cs="Calibri" w:eastAsia="Calibri" w:hAnsi="Calibri"/>
          <w:b/>
          <w:bCs/>
        </w:rPr>
        <w:t xml:space="preserve">Zásah je nerovnomerný a dlhodobý. </w:t>
      </w:r>
      <w:r>
        <w:rPr>
          <w:rFonts w:ascii="Calibri" w:cs="Calibri" w:eastAsia="Calibri" w:hAnsi="Calibri"/>
        </w:rPr>
        <w:t xml:space="preserve">Jedenásť rokov odstupujú prakticky výlučne kluby dospelých. Ak by príčinou boli podmienky nastavené centrálne, zasiahlo by to aj mládež — a tá naopak rastie.</w:t>
      </w:r>
    </w:p>
    <w:p>
      <w:pPr>
        <w:spacing w:after="120" w:line="276"/>
        <w:ind w:left="280" w:hanging="280"/>
      </w:pPr>
      <w:r>
        <w:rPr>
          <w:rFonts w:ascii="Calibri" w:cs="Calibri" w:eastAsia="Calibri" w:hAnsi="Calibri"/>
          <w:b/>
          <w:bCs/>
          <w:color w:val="1450DF"/>
        </w:rPr>
        <w:t xml:space="preserve">3. </w:t>
      </w:r>
      <w:r>
        <w:rPr>
          <w:rFonts w:ascii="Calibri" w:cs="Calibri" w:eastAsia="Calibri" w:hAnsi="Calibri"/>
          <w:b/>
          <w:bCs/>
        </w:rPr>
        <w:t xml:space="preserve">Mládežnícke družstvá pribúdajú. </w:t>
      </w:r>
      <w:r>
        <w:rPr>
          <w:rFonts w:ascii="Calibri" w:cs="Calibri" w:eastAsia="Calibri" w:hAnsi="Calibri"/>
        </w:rPr>
        <w:t xml:space="preserve">Prípraviek je dnes 1 712 oproti 163 v sezóne 2014/2015, žiakov 1 611 oproti 1 316. Dorast klesol na 706 v 2022/2023 a odvtedy rastie na 803. Jediná kategória s nepretržitým poklesom sú dospelí: 1 788 → 1 320 družstiev.</w:t>
      </w:r>
    </w:p>
    <w:p>
      <w:pPr>
        <w:spacing w:after="120" w:line="276"/>
        <w:ind w:left="280" w:hanging="280"/>
      </w:pPr>
      <w:r>
        <w:rPr>
          <w:rFonts w:ascii="Calibri" w:cs="Calibri" w:eastAsia="Calibri" w:hAnsi="Calibri"/>
          <w:b/>
          <w:bCs/>
          <w:color w:val="1450DF"/>
        </w:rPr>
        <w:t xml:space="preserve">4. </w:t>
      </w:r>
      <w:r>
        <w:rPr>
          <w:rFonts w:ascii="Calibri" w:cs="Calibri" w:eastAsia="Calibri" w:hAnsi="Calibri"/>
          <w:b/>
          <w:bCs/>
        </w:rPr>
        <w:t xml:space="preserve">Poplatky za delegované osoby v mládeži platí SFZ. </w:t>
      </w:r>
      <w:r>
        <w:rPr>
          <w:rFonts w:ascii="Calibri" w:cs="Calibri" w:eastAsia="Calibri" w:hAnsi="Calibri"/>
        </w:rPr>
        <w:t xml:space="preserve">Klub si platí len súťaže dospelých — presne tú kategóriu, ktorá ubúda, a tú, kde náklady na klub zostávajú.</w:t>
      </w:r>
    </w:p>
    <w:p>
      <w:pPr>
        <w:pBdr>
          <w:top w:val="single" w:color="E2E8F0" w:sz="4" w:space="8"/>
          <w:bottom w:val="single" w:color="E2E8F0" w:sz="4" w:space="8"/>
          <w:left w:val="single" w:color="1450DF" w:sz="18" w:space="12"/>
          <w:right w:val="single" w:color="E2E8F0" w:sz="4" w:space="8"/>
        </w:pBdr>
        <w:shd w:fill="F8FAFC" w:val="clear"/>
        <w:spacing w:after="180" w:before="120" w:line="288"/>
        <w:ind w:left="220" w:right="220"/>
      </w:pPr>
      <w:r>
        <w:rPr>
          <w:rFonts w:ascii="Calibri" w:cs="Calibri" w:eastAsia="Calibri" w:hAnsi="Calibri"/>
          <w:i/>
          <w:iCs/>
          <w:color w:val="0F172A"/>
          <w:sz w:val="22"/>
          <w:szCs w:val="22"/>
        </w:rPr>
        <w:t xml:space="preserve">„Odstupujú malé kluby s jedným družstvom dospelých, ktoré existovali deväť a viac sezón a tri sezóny pred odchodom sa scvrkávali. Mládežnícke družstvá pritom pribúdajú — prípraviek je dnes desaťnásobok stavu z roku 2014.“</w:t>
      </w:r>
    </w:p>
    <w:p>
      <w:pPr>
        <w:spacing w:after="60" w:before="140"/>
        <w:jc w:val="center"/>
      </w:pPr>
      <w:r>
        <w:drawing>
          <wp:inline distT="0" distB="0" distL="0" distR="0">
            <wp:extent cx="4381500" cy="2466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7"/>
          <w:szCs w:val="17"/>
        </w:rPr>
        <w:t xml:space="preserve">Graf 3 — Družstvá v súťažiach po vekových kategóriách, 2014/2015 – 2025/2026.</w:t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0F172A"/>
          <w:sz w:val="30"/>
          <w:szCs w:val="30"/>
        </w:rPr>
        <w:t xml:space="preserve">4. Kde odstúpené kluby naposledy hrali</w:t>
      </w:r>
    </w:p>
    <w:p>
      <w:pPr>
        <w:spacing w:after="140" w:line="276"/>
      </w:pPr>
      <w:r>
        <w:rPr>
          <w:rFonts w:ascii="Calibri" w:cs="Calibri" w:eastAsia="Calibri" w:hAnsi="Calibri"/>
        </w:rPr>
        <w:t xml:space="preserve">Rozloženie odstúpených klubov podľa zväzu, v ktorom klub odohral svoju poslednú sezónu, je v samostatnej infografike na konci dokumentu (</w:t>
      </w:r>
      <w:r>
        <w:rPr>
          <w:rFonts w:ascii="Calibri" w:cs="Calibri" w:eastAsia="Calibri" w:hAnsi="Calibri"/>
          <w:b/>
          <w:bCs/>
        </w:rPr>
        <w:t xml:space="preserve">Príloha A</w:t>
      </w:r>
      <w:r>
        <w:rPr>
          <w:rFonts w:ascii="Calibri" w:cs="Calibri" w:eastAsia="Calibri" w:hAnsi="Calibri"/>
        </w:rPr>
        <w:t xml:space="preserve">). Zväzy s najväčším počtom odstúpených klubov za celé obdobie:</w:t>
      </w:r>
    </w:p>
    <w:tbl>
      <w:tblPr>
        <w:tblW w:type="dxa" w:w="9070"/>
        <w:tblBorders>
          <w:top w:val="single" w:color="E2E8F0" w:sz="4"/>
          <w:left w:val="none"/>
          <w:bottom w:val="single" w:color="E2E8F0" w:sz="4"/>
          <w:right w:val="none"/>
          <w:insideH w:val="single" w:color="E2E8F0" w:sz="2"/>
          <w:insideV w:val="none"/>
        </w:tblBorders>
      </w:tblPr>
      <w:tblGrid>
        <w:gridCol w:w="4070"/>
        <w:gridCol w:w="3000"/>
        <w:gridCol w:w="2000"/>
      </w:tblGrid>
      <w:tr>
        <w:trPr>
          <w:tblHeader/>
        </w:trPr>
        <w:tc>
          <w:tcPr>
            <w:tcW w:type="dxa" w:w="100"/>
            <w:shd w:fill="EEF2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9"/>
                <w:szCs w:val="19"/>
              </w:rPr>
              <w:t xml:space="preserve">Zväz</w:t>
            </w:r>
          </w:p>
        </w:tc>
        <w:tc>
          <w:tcPr>
            <w:tcW w:type="dxa" w:w="100"/>
            <w:shd w:fill="EEF2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9"/>
                <w:szCs w:val="19"/>
              </w:rPr>
              <w:t xml:space="preserve">Spolu 2015/2016 – 2025/2026</w:t>
            </w:r>
          </w:p>
        </w:tc>
        <w:tc>
          <w:tcPr>
            <w:tcW w:type="dxa" w:w="100"/>
            <w:shd w:fill="EEF2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9"/>
                <w:szCs w:val="19"/>
              </w:rPr>
              <w:t xml:space="preserve">Z toho 2025/2026</w:t>
            </w:r>
          </w:p>
        </w:tc>
      </w:tr>
      <w:tr>
        <w:tc>
          <w:tcPr>
            <w:tcW w:type="dxa" w:w="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ObFZ Prievidza</w:t>
            </w:r>
          </w:p>
        </w:tc>
        <w:tc>
          <w:tcPr>
            <w:tcW w:type="dxa" w:w="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37</w:t>
            </w:r>
          </w:p>
        </w:tc>
        <w:tc>
          <w:tcPr>
            <w:tcW w:type="dxa" w:w="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ObFZ Michalovce</w:t>
            </w:r>
          </w:p>
        </w:tc>
        <w:tc>
          <w:tcPr>
            <w:tcW w:type="dxa" w:w="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34</w:t>
            </w:r>
          </w:p>
        </w:tc>
        <w:tc>
          <w:tcPr>
            <w:tcW w:type="dxa" w:w="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ObFZ Trebišov</w:t>
            </w:r>
          </w:p>
        </w:tc>
        <w:tc>
          <w:tcPr>
            <w:tcW w:type="dxa" w:w="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34</w:t>
            </w:r>
          </w:p>
        </w:tc>
        <w:tc>
          <w:tcPr>
            <w:tcW w:type="dxa" w:w="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ObFZ Trnava</w:t>
            </w:r>
          </w:p>
        </w:tc>
        <w:tc>
          <w:tcPr>
            <w:tcW w:type="dxa" w:w="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32</w:t>
            </w:r>
          </w:p>
        </w:tc>
        <w:tc>
          <w:tcPr>
            <w:tcW w:type="dxa" w:w="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ObFZ Nitra</w:t>
            </w:r>
          </w:p>
        </w:tc>
        <w:tc>
          <w:tcPr>
            <w:tcW w:type="dxa" w:w="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28</w:t>
            </w:r>
          </w:p>
        </w:tc>
        <w:tc>
          <w:tcPr>
            <w:tcW w:type="dxa" w:w="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ObFZ Humenné</w:t>
            </w:r>
          </w:p>
        </w:tc>
        <w:tc>
          <w:tcPr>
            <w:tcW w:type="dxa" w:w="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25</w:t>
            </w:r>
          </w:p>
        </w:tc>
        <w:tc>
          <w:tcPr>
            <w:tcW w:type="dxa" w:w="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ObFZ Levice</w:t>
            </w:r>
          </w:p>
        </w:tc>
        <w:tc>
          <w:tcPr>
            <w:tcW w:type="dxa" w:w="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24</w:t>
            </w:r>
          </w:p>
        </w:tc>
        <w:tc>
          <w:tcPr>
            <w:tcW w:type="dxa" w:w="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ObFZ Rožňava</w:t>
            </w:r>
          </w:p>
        </w:tc>
        <w:tc>
          <w:tcPr>
            <w:tcW w:type="dxa" w:w="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23</w:t>
            </w:r>
          </w:p>
        </w:tc>
        <w:tc>
          <w:tcPr>
            <w:tcW w:type="dxa" w:w="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0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p>
      <w:pPr>
        <w:spacing w:after="140" w:line="276"/>
      </w:pPr>
      <w:r>
        <w:rPr>
          <w:rFonts w:ascii="Calibri" w:cs="Calibri" w:eastAsia="Calibri" w:hAnsi="Calibri"/>
          <w:b/>
          <w:bCs/>
        </w:rPr>
        <w:t xml:space="preserve">Ako čítať zväz.</w:t>
      </w:r>
      <w:r>
        <w:rPr>
          <w:rFonts w:ascii="Calibri" w:cs="Calibri" w:eastAsia="Calibri" w:hAnsi="Calibri"/>
        </w:rPr>
        <w:t xml:space="preserve"> Je to zväz, v ktorého súťažiach klub odohral najviac zápasov v poslednej sezóne. Pri malom klube s jediným družstvom dospelých je to priamo zväz, kde hrali dospelí; pri klube s mládežou v celoštátnej alebo regionálnej súťaži to môže byť zväz tejto mládežníckej súťaže. Presné priradenie súťaže dospelých ku zväzu si vyžaduje prístup do ISSF databázy — publikované dáta ho nenesú.</w:t>
      </w:r>
    </w:p>
    <w:p>
      <w:pPr>
        <w:pStyle w:val="Heading1"/>
        <w:spacing w:after="160" w:before="300"/>
      </w:pPr>
      <w:r>
        <w:rPr>
          <w:rFonts w:ascii="Calibri" w:cs="Calibri" w:eastAsia="Calibri" w:hAnsi="Calibri"/>
          <w:b/>
          <w:bCs/>
          <w:color w:val="0F172A"/>
          <w:sz w:val="30"/>
          <w:szCs w:val="30"/>
        </w:rPr>
        <w:t xml:space="preserve">Čo treba vedieť, skôr než tieto čísla niekto použije</w:t>
      </w:r>
    </w:p>
    <w:p>
      <w:pPr>
        <w:spacing w:after="120" w:line="276"/>
        <w:ind w:left="280" w:hanging="280"/>
      </w:pPr>
      <w:r>
        <w:rPr>
          <w:rFonts w:ascii="Calibri" w:cs="Calibri" w:eastAsia="Calibri" w:hAnsi="Calibri"/>
          <w:b/>
          <w:bCs/>
          <w:color w:val="EC1C24"/>
        </w:rPr>
        <w:t xml:space="preserve">▪  </w:t>
      </w:r>
      <w:r>
        <w:rPr>
          <w:rFonts w:ascii="Calibri" w:cs="Calibri" w:eastAsia="Calibri" w:hAnsi="Calibri"/>
          <w:b/>
          <w:bCs/>
        </w:rPr>
        <w:t xml:space="preserve">Dôvod odstúpenia v dátach nie je. </w:t>
      </w:r>
      <w:r>
        <w:rPr>
          <w:rFonts w:ascii="Calibri" w:cs="Calibri" w:eastAsia="Calibri" w:hAnsi="Calibri"/>
        </w:rPr>
        <w:t xml:space="preserve">Profil klubov je fakt, výklad príčin je náš úsudok. Ak máme rozhodnutia ŠTK alebo evidenciu záväzkov, dá sa to k tomu priložiť a vyhodnotiť kvantitatívne — bez toho zostáva pri profile.</w:t>
      </w:r>
    </w:p>
    <w:p>
      <w:pPr>
        <w:spacing w:after="120" w:line="276"/>
        <w:ind w:left="280" w:hanging="280"/>
      </w:pPr>
      <w:r>
        <w:rPr>
          <w:rFonts w:ascii="Calibri" w:cs="Calibri" w:eastAsia="Calibri" w:hAnsi="Calibri"/>
          <w:b/>
          <w:bCs/>
          <w:color w:val="EC1C24"/>
        </w:rPr>
        <w:t xml:space="preserve">▪  </w:t>
      </w:r>
      <w:r>
        <w:rPr>
          <w:rFonts w:ascii="Calibri" w:cs="Calibri" w:eastAsia="Calibri" w:hAnsi="Calibri"/>
          <w:b/>
          <w:bCs/>
        </w:rPr>
        <w:t xml:space="preserve">Sezóna 2025/2026 ešte nie je uzavretá z hľadiska návratov. </w:t>
      </w:r>
      <w:r>
        <w:rPr>
          <w:rFonts w:ascii="Calibri" w:cs="Calibri" w:eastAsia="Calibri" w:hAnsi="Calibri"/>
        </w:rPr>
        <w:t xml:space="preserve">Zo 42 klubov sa časť vráti; podľa histórie približne pätina. Definitívne číslo zánikov za túto sezónu budeme vedieť po 2027/2028.</w:t>
      </w:r>
    </w:p>
    <w:p>
      <w:pPr>
        <w:spacing w:after="120" w:line="276"/>
        <w:ind w:left="280" w:hanging="280"/>
      </w:pPr>
      <w:r>
        <w:rPr>
          <w:rFonts w:ascii="Calibri" w:cs="Calibri" w:eastAsia="Calibri" w:hAnsi="Calibri"/>
          <w:b/>
          <w:bCs/>
          <w:color w:val="EC1C24"/>
        </w:rPr>
        <w:t xml:space="preserve">▪  </w:t>
      </w:r>
      <w:r>
        <w:rPr>
          <w:rFonts w:ascii="Calibri" w:cs="Calibri" w:eastAsia="Calibri" w:hAnsi="Calibri"/>
          <w:b/>
          <w:bCs/>
        </w:rPr>
        <w:t xml:space="preserve">Prebiehajúca sezóna 2026/2027 v analýze nie je. </w:t>
      </w:r>
      <w:r>
        <w:rPr>
          <w:rFonts w:ascii="Calibri" w:cs="Calibri" w:eastAsia="Calibri" w:hAnsi="Calibri"/>
        </w:rPr>
        <w:t xml:space="preserve">V nej má nula odohraných zápasov 40 klubov, ale väčšina z nich len čaká na štart svojej súťaže. Toto číslo sa nedá použiť ako počet odstúpených klubov a treba naň dávať pozor — je to presne to číslo, ktoré by rétoriku o hromadnom odhlasovaní zdanlivo potvrdilo.</w:t>
      </w:r>
    </w:p>
    <w:p>
      <w:pPr>
        <w:spacing w:after="120" w:line="276"/>
        <w:ind w:left="280" w:hanging="280"/>
      </w:pPr>
      <w:r>
        <w:rPr>
          <w:rFonts w:ascii="Calibri" w:cs="Calibri" w:eastAsia="Calibri" w:hAnsi="Calibri"/>
          <w:b/>
          <w:bCs/>
          <w:color w:val="EC1C24"/>
        </w:rPr>
        <w:t xml:space="preserve">▪  </w:t>
      </w:r>
      <w:r>
        <w:rPr>
          <w:rFonts w:ascii="Calibri" w:cs="Calibri" w:eastAsia="Calibri" w:hAnsi="Calibri"/>
          <w:b/>
          <w:bCs/>
        </w:rPr>
        <w:t xml:space="preserve">Kluby vo viacerých kategóriách sa počítajú viackrát. </w:t>
      </w:r>
      <w:r>
        <w:rPr>
          <w:rFonts w:ascii="Calibri" w:cs="Calibri" w:eastAsia="Calibri" w:hAnsi="Calibri"/>
        </w:rPr>
        <w:t xml:space="preserve">Klub s prípravkou aj dospelými je v oboch stĺpcoch. Súčet stĺpcov preto nie je počet klubov.</w:t>
      </w:r>
    </w:p>
    <w:p>
      <w:pPr>
        <w:spacing w:after="120" w:line="276"/>
        <w:ind w:left="280" w:hanging="280"/>
      </w:pPr>
      <w:r>
        <w:rPr>
          <w:rFonts w:ascii="Calibri" w:cs="Calibri" w:eastAsia="Calibri" w:hAnsi="Calibri"/>
          <w:b/>
          <w:bCs/>
          <w:color w:val="EC1C24"/>
        </w:rPr>
        <w:t xml:space="preserve">▪  </w:t>
      </w:r>
      <w:r>
        <w:rPr>
          <w:rFonts w:ascii="Calibri" w:cs="Calibri" w:eastAsia="Calibri" w:hAnsi="Calibri"/>
          <w:b/>
          <w:bCs/>
        </w:rPr>
        <w:t xml:space="preserve">135 klubo-sezón má vekovú kategóriu „NEZNÁMA“ </w:t>
      </w:r>
      <w:r>
        <w:rPr>
          <w:rFonts w:ascii="Calibri" w:cs="Calibri" w:eastAsia="Calibri" w:hAnsi="Calibri"/>
        </w:rPr>
        <w:t xml:space="preserve">a do rozpadu po kategóriách nevstupuje (rovnako U20 a U21, ktoré do štyroch skúmaných kategórií nepatria).</w:t>
      </w:r>
    </w:p>
    <w:p>
      <w:pPr>
        <w:sectPr>
          <w:footerReference w:type="default" r:id="rId7"/>
          <w:pgSz w:w="11906" w:h="16838" w:orient="portrait"/>
          <w:pgMar w:top="1200" w:right="1200" w:bottom="1100" w:left="1200" w:header="708" w:footer="708" w:gutter="0"/>
          <w:pgNumType/>
          <w:docGrid w:linePitch="360"/>
        </w:sectPr>
      </w:pPr>
    </w:p>
    <w:p>
      <w:pPr>
        <w:pStyle w:val="Heading1"/>
        <w:spacing w:after="160"/>
      </w:pPr>
      <w:r>
        <w:rPr>
          <w:rFonts w:ascii="Calibri" w:cs="Calibri" w:eastAsia="Calibri" w:hAnsi="Calibri"/>
          <w:b/>
          <w:bCs/>
          <w:color w:val="0F172A"/>
          <w:sz w:val="30"/>
          <w:szCs w:val="30"/>
        </w:rPr>
        <w:t xml:space="preserve">Príloha A — Odstúpené kluby po sezónach a zväzoch</w:t>
      </w:r>
    </w:p>
    <w:p>
      <w:pPr>
        <w:spacing w:after="100"/>
        <w:jc w:val="center"/>
      </w:pPr>
      <w:r>
        <w:drawing>
          <wp:inline distT="0" distB="0" distL="0" distR="0">
            <wp:extent cx="8953500" cy="4924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64748B"/>
          <w:sz w:val="17"/>
          <w:szCs w:val="17"/>
        </w:rPr>
        <w:t xml:space="preserve">Číslo v políčku je počet klubov, ktoré v danej sezóne odstúpili a naposledy hrali v súťažiach daného zväzu. Zväz = ten, v ktorého súťažiach klub odohral najviac zápasov v poslednej sezóne. Prebiehajúca sezóna sa nehodnotí. Zdroj: ISSF.</w:t>
      </w:r>
    </w:p>
    <w:sectPr>
      <w:footerReference w:type="default" r:id="rId8"/>
      <w:type w:val="nextPage"/>
      <w:pgSz w:w="16833" w:h="11908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8"/>
      </w:pBdr>
      <w:tabs>
        <w:tab w:val="right" w:pos="9506"/>
      </w:tabs>
      <w:spacing w:before="100"/>
    </w:pPr>
    <w:r>
      <w:rPr>
        <w:rFonts w:ascii="Calibri" w:cs="Calibri" w:eastAsia="Calibri" w:hAnsi="Calibri"/>
        <w:color w:val="64748B"/>
        <w:sz w:val="16"/>
        <w:szCs w:val="16"/>
      </w:rPr>
      <w:t xml:space="preserve">Odstúpené kluby — čo hovoria dáta · statistika.futbalsfz.sk</w:t>
    </w:r>
    <w:r>
      <w:rPr>
        <w:rFonts w:ascii="Calibri" w:cs="Calibri" w:eastAsia="Calibri" w:hAnsi="Calibri"/>
        <w:color w:val="64748B"/>
        <w:sz w:val="16"/>
        <w:szCs w:val="16"/>
      </w:rPr>
      <w:t xml:space="preserve">	</w:t>
    </w:r>
    <w:r>
      <w:rPr>
        <w:rFonts w:ascii="Calibri" w:cs="Calibri" w:eastAsia="Calibri" w:hAnsi="Calibri"/>
        <w:color w:val="64748B"/>
        <w:sz w:val="16"/>
        <w:szCs w:val="16"/>
      </w:rPr>
      <w:t xml:space="preserve">Strana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6"/>
        <w:szCs w:val="16"/>
      </w:rPr>
      <w:t xml:space="preserve"> z </w:t>
    </w:r>
    <w:r>
      <w:rPr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8"/>
      </w:pBdr>
      <w:tabs>
        <w:tab w:val="right" w:pos="15034"/>
      </w:tabs>
      <w:spacing w:before="100"/>
    </w:pPr>
    <w:r>
      <w:rPr>
        <w:rFonts w:ascii="Calibri" w:cs="Calibri" w:eastAsia="Calibri" w:hAnsi="Calibri"/>
        <w:color w:val="64748B"/>
        <w:sz w:val="16"/>
        <w:szCs w:val="16"/>
      </w:rPr>
      <w:t xml:space="preserve">Príloha A · statistika.futbalsfz.sk</w:t>
    </w:r>
    <w:r>
      <w:rPr>
        <w:rFonts w:ascii="Calibri" w:cs="Calibri" w:eastAsia="Calibri" w:hAnsi="Calibri"/>
        <w:color w:val="64748B"/>
        <w:sz w:val="16"/>
        <w:szCs w:val="16"/>
      </w:rPr>
      <w:t xml:space="preserve">	</w:t>
    </w:r>
    <w:r>
      <w:rPr>
        <w:rFonts w:ascii="Calibri" w:cs="Calibri" w:eastAsia="Calibri" w:hAnsi="Calibri"/>
        <w:color w:val="64748B"/>
        <w:sz w:val="16"/>
        <w:szCs w:val="16"/>
      </w:rPr>
      <w:t xml:space="preserve">Strana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6"/>
        <w:szCs w:val="16"/>
      </w:rPr>
      <w:t xml:space="preserve"> z </w:t>
    </w:r>
    <w:r>
      <w:rPr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F172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ac8bafscxx9knoeoc6lfk" Type="http://schemas.openxmlformats.org/officeDocument/2006/relationships/hyperlink" Target="https://statistika.futbalsfz.sk" TargetMode="External"/><Relationship Id="rId9" Type="http://schemas.openxmlformats.org/officeDocument/2006/relationships/image" Target="media/ff77fa763b7f8693dbcb371ff0584c03b5ce9483.png"/><Relationship Id="rId10" Type="http://schemas.openxmlformats.org/officeDocument/2006/relationships/image" Target="media/976473b89cd2cf7366cc66c40b0bf26e7fe887df.png"/><Relationship Id="rId11" Type="http://schemas.openxmlformats.org/officeDocument/2006/relationships/image" Target="media/89e53b319325d6bafbcf9fec8d3f580413edb2b6.png"/><Relationship Id="rId12" Type="http://schemas.openxmlformats.org/officeDocument/2006/relationships/image" Target="media/f6f9dd5367295a1f509bab06ede2f8446363f81b.png"/><Relationship Id="rId13" Type="http://schemas.openxmlformats.org/officeDocument/2006/relationships/image" Target="media/3dfaad193a96b4c8d7c0035134c5934e692a912f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Odstúpené kluby — čo hovoria dáta</dc:title>
  <dc:creator>Slovenský futbalový zväz</dc:creator>
  <dc:description>Podklad na argumentáciu, 19. 8. 2026. Zdroj ISSF, statistika.futbalsfz.sk</dc:description>
  <cp:lastModifiedBy>Un-named</cp:lastModifiedBy>
  <cp:revision>1</cp:revision>
  <dcterms:created xsi:type="dcterms:W3CDTF">2026-08-19T14:00:47.078Z</dcterms:created>
  <dcterms:modified xsi:type="dcterms:W3CDTF">2026-08-19T14:00:47.079Z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