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задание 4</w:t>
        <w:br w:type="textWrapping"/>
        <w:br w:type="textWrapping"/>
        <w:tab/>
      </w:r>
      <w:r w:rsidDel="00000000" w:rsidR="00000000" w:rsidRPr="00000000">
        <w:rPr>
          <w:sz w:val="28"/>
          <w:szCs w:val="28"/>
          <w:rtl w:val="0"/>
        </w:rPr>
        <w:t xml:space="preserve">посчитаем сколько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разных</w:t>
      </w:r>
      <w:r w:rsidDel="00000000" w:rsidR="00000000" w:rsidRPr="00000000">
        <w:rPr>
          <w:sz w:val="28"/>
          <w:szCs w:val="28"/>
          <w:rtl w:val="0"/>
        </w:rPr>
        <w:t xml:space="preserve"> кнопок: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br w:type="textWrapping"/>
        <w:tab/>
        <w:t xml:space="preserve">Зелёная кнопка действия (Free trial) — главное действие на странице.</w:t>
      </w:r>
    </w:p>
    <w:p w:rsidR="00000000" w:rsidDel="00000000" w:rsidP="00000000" w:rsidRDefault="00000000" w:rsidRPr="00000000" w14:paraId="00000003">
      <w:pPr>
        <w:shd w:fill="ffffff" w:val="clear"/>
        <w:spacing w:after="240" w:before="340" w:lineRule="auto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Жёлтая кнопка-ссылка (See all courses) — второстепенное действие.</w:t>
      </w:r>
    </w:p>
    <w:p w:rsidR="00000000" w:rsidDel="00000000" w:rsidP="00000000" w:rsidRDefault="00000000" w:rsidRPr="00000000" w14:paraId="00000004">
      <w:pPr>
        <w:shd w:fill="ffffff" w:val="clear"/>
        <w:spacing w:after="240" w:before="340" w:lineRule="auto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Тёмные карточки-кнопки с видео — 5 штук, каждая открывает свой курс.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задание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Фон кнопки «Хочу учиться здесь» — жёлто-оранжевый.</w:t>
      </w:r>
    </w:p>
    <w:p w:rsidR="00000000" w:rsidDel="00000000" w:rsidP="00000000" w:rsidRDefault="00000000" w:rsidRPr="00000000" w14:paraId="00000008">
      <w:pPr>
        <w:shd w:fill="ffffff" w:val="clear"/>
        <w:spacing w:after="240" w:before="34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Размер шрифта заголовка «Детская компьютерная школа» — около 48 px.</w:t>
      </w:r>
    </w:p>
    <w:p w:rsidR="00000000" w:rsidDel="00000000" w:rsidP="00000000" w:rsidRDefault="00000000" w:rsidRPr="00000000" w14:paraId="00000009">
      <w:pPr>
        <w:shd w:fill="ffffff" w:val="clear"/>
        <w:spacing w:after="240" w:before="34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Ширина «ручки» слайдера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highlight w:val="white"/>
          <w:rtl w:val="0"/>
        </w:rPr>
        <w:t xml:space="preserve">owl-prev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около 40 px.</w:t>
      </w:r>
    </w:p>
    <w:p w:rsidR="00000000" w:rsidDel="00000000" w:rsidP="00000000" w:rsidRDefault="00000000" w:rsidRPr="00000000" w14:paraId="0000000A">
      <w:pPr>
        <w:shd w:fill="ffffff" w:val="clear"/>
        <w:spacing w:after="240" w:before="34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Размер иконок в разделе «Три кита» — около 80 px.</w:t>
      </w:r>
    </w:p>
    <w:p w:rsidR="00000000" w:rsidDel="00000000" w:rsidP="00000000" w:rsidRDefault="00000000" w:rsidRPr="00000000" w14:paraId="0000000B">
      <w:pPr>
        <w:shd w:fill="ffffff" w:val="clear"/>
        <w:spacing w:after="240" w:before="34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highlight w:val="white"/>
          <w:rtl w:val="0"/>
        </w:rPr>
        <w:t xml:space="preserve">line-height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у текстов — примерно 1.5.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