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numPr>
          <w:ilvl w:val="0"/>
          <w:numId w:val="1"/>
        </w:numPr>
        <w:spacing w:beforeLines="50" w:after="0" w:line="360" w:lineRule="auto"/>
        <w:ind w:left="0" w:firstLine="422"/>
        <w:outlineLvl w:val="2"/>
        <w:rPr>
          <w:rFonts w:ascii="Times New Roman" w:hAnsi="Times New Roman"/>
          <w:color w:val="FF0000"/>
          <w:szCs w:val="21"/>
        </w:rPr>
      </w:pPr>
      <w:r>
        <w:rPr>
          <w:rFonts w:ascii="Times New Roman" w:hAnsi="Times New Roman"/>
          <w:color w:val="FF0000"/>
          <w:szCs w:val="21"/>
        </w:rPr>
        <w:t>固定资产</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固定资产确认条件</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固定资产指为生产商品、提供劳务、出租或经营管理而持有，并且使用寿命超过一个会计年度的有形资产。固定资产在同时满足下列条件时予以确认：</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（1）与该固定资产有关的经济利益很可能流入企业；</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（2）该固定资产的成本能够可靠地计量。</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固定资产初始计量</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本公司固定资产按成本进行初始计量。</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（1）</w:t>
      </w:r>
      <w:r>
        <w:rPr>
          <w:rFonts w:ascii="Times New Roman" w:hAnsi="Times New Roman"/>
          <w:color w:val="FF0000"/>
        </w:rPr>
        <w:tab/>
      </w:r>
      <w:r>
        <w:rPr>
          <w:rFonts w:ascii="Times New Roman" w:hAnsi="Times New Roman"/>
          <w:color w:val="FF0000"/>
        </w:rPr>
        <w:t>外购的固定资产的成本包括买价、进口关税等相关税费，以及为使固定资产达到预定可使用状态前所发生的可直接归属于该资产的其他支出。</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（2）</w:t>
      </w:r>
      <w:r>
        <w:rPr>
          <w:rFonts w:ascii="Times New Roman" w:hAnsi="Times New Roman"/>
          <w:color w:val="FF0000"/>
        </w:rPr>
        <w:tab/>
      </w:r>
      <w:r>
        <w:rPr>
          <w:rFonts w:ascii="Times New Roman" w:hAnsi="Times New Roman"/>
          <w:color w:val="FF0000"/>
        </w:rPr>
        <w:t>自行建造固定资产的成本，由建造该项资产达到预定可使用状态前所发生的必要支出构成。</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（3）</w:t>
      </w:r>
      <w:r>
        <w:rPr>
          <w:rFonts w:ascii="Times New Roman" w:hAnsi="Times New Roman"/>
          <w:color w:val="FF0000"/>
        </w:rPr>
        <w:tab/>
      </w:r>
      <w:r>
        <w:rPr>
          <w:rFonts w:ascii="Times New Roman" w:hAnsi="Times New Roman"/>
          <w:color w:val="FF0000"/>
        </w:rPr>
        <w:t>投资者投入的固定资产，按投资合同或协议约定的价值作为入账价值，但合同或协议约定价值不公允的按公允价值入账。</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4）购买固定资产的价款超过正常信用条件延期支付，实质上具有融资性质的，固定资产的成本以购买价款的现值为基础确定。实际支付的价款与购买价款的现值之间的差额，除应予资本化的以外，在信用期间内计入当期损益。</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固定资产后续计量及处置</w:t>
      </w:r>
    </w:p>
    <w:p>
      <w:pPr>
        <w:pStyle w:val="7"/>
        <w:widowControl w:val="0"/>
        <w:numPr>
          <w:ilvl w:val="0"/>
          <w:numId w:val="3"/>
        </w:numPr>
        <w:tabs>
          <w:tab w:val="left" w:pos="196"/>
          <w:tab w:val="left" w:pos="426"/>
        </w:tabs>
        <w:spacing w:line="360" w:lineRule="auto"/>
        <w:ind w:left="0" w:leftChars="0" w:firstLine="420"/>
        <w:outlineLvl w:val="4"/>
        <w:rPr>
          <w:rFonts w:ascii="Times New Roman" w:hAnsi="Times New Roman"/>
          <w:color w:val="FF0000"/>
        </w:rPr>
      </w:pPr>
      <w:r>
        <w:rPr>
          <w:rFonts w:ascii="Times New Roman" w:hAnsi="Times New Roman"/>
          <w:color w:val="FF0000"/>
        </w:rPr>
        <w:t>固定资产折旧</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固定资产折旧按其入账价值减去预计净残值后在预计使用寿命内计提。对计提了减值准备的固定资产，则在未来期间按扣除减值准备后的账面价值及依据尚可使用年限确定折旧额；已提足折旧仍继续使用的固定资产不计提折旧。</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本公司根据固定资产的性质和使用情况，确定固定资产的使用寿命和预计净残值。</w:t>
      </w:r>
      <w:bookmarkStart w:id="0" w:name="OLE_LINK3"/>
      <w:bookmarkStart w:id="1" w:name="OLE_LINK4"/>
      <w:r>
        <w:rPr>
          <w:rFonts w:ascii="Times New Roman" w:hAnsi="Times New Roman"/>
          <w:color w:val="FF0000"/>
        </w:rPr>
        <w:t>并在年度终了，对固定资产的使用寿命、预计净残值和折旧方法进行复核，如与原先估计数存在差异的，进行相应的调整。</w:t>
      </w:r>
      <w:bookmarkEnd w:id="0"/>
      <w:bookmarkEnd w:id="1"/>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各类固定资产的折旧方法、折旧年限和年折旧率如下：</w:t>
      </w:r>
    </w:p>
    <w:tbl>
      <w:tblPr>
        <w:tblStyle w:val="3"/>
        <w:tblW w:w="8357" w:type="dxa"/>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
      <w:tblGrid>
        <w:gridCol w:w="1985"/>
        <w:gridCol w:w="1843"/>
        <w:gridCol w:w="1530"/>
        <w:gridCol w:w="1531"/>
        <w:gridCol w:w="14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blHeader/>
        </w:trPr>
        <w:tc>
          <w:tcPr>
            <w:tcW w:w="1985" w:type="dxa"/>
            <w:tcBorders>
              <w:top w:val="single" w:color="auto" w:sz="12" w:space="0"/>
            </w:tcBorders>
            <w:vAlign w:val="center"/>
          </w:tcPr>
          <w:p>
            <w:pPr>
              <w:tabs>
                <w:tab w:val="left" w:pos="196"/>
                <w:tab w:val="left" w:pos="426"/>
              </w:tabs>
              <w:adjustRightInd w:val="0"/>
              <w:snapToGrid w:val="0"/>
              <w:jc w:val="center"/>
              <w:rPr>
                <w:color w:val="FF0000"/>
              </w:rPr>
            </w:pPr>
            <w:r>
              <w:rPr>
                <w:color w:val="FF0000"/>
              </w:rPr>
              <w:t>类别</w:t>
            </w:r>
          </w:p>
        </w:tc>
        <w:tc>
          <w:tcPr>
            <w:tcW w:w="1843" w:type="dxa"/>
            <w:tcBorders>
              <w:top w:val="single" w:color="auto" w:sz="12" w:space="0"/>
            </w:tcBorders>
            <w:vAlign w:val="center"/>
          </w:tcPr>
          <w:p>
            <w:pPr>
              <w:tabs>
                <w:tab w:val="left" w:pos="196"/>
                <w:tab w:val="left" w:pos="426"/>
              </w:tabs>
              <w:adjustRightInd w:val="0"/>
              <w:snapToGrid w:val="0"/>
              <w:jc w:val="center"/>
              <w:rPr>
                <w:color w:val="FF0000"/>
              </w:rPr>
            </w:pPr>
            <w:r>
              <w:rPr>
                <w:color w:val="FF0000"/>
              </w:rPr>
              <w:t>折旧方法</w:t>
            </w:r>
          </w:p>
        </w:tc>
        <w:tc>
          <w:tcPr>
            <w:tcW w:w="1530" w:type="dxa"/>
            <w:tcBorders>
              <w:top w:val="single" w:color="auto" w:sz="12" w:space="0"/>
            </w:tcBorders>
            <w:vAlign w:val="center"/>
          </w:tcPr>
          <w:p>
            <w:pPr>
              <w:tabs>
                <w:tab w:val="left" w:pos="196"/>
                <w:tab w:val="left" w:pos="426"/>
              </w:tabs>
              <w:adjustRightInd w:val="0"/>
              <w:snapToGrid w:val="0"/>
              <w:jc w:val="center"/>
              <w:rPr>
                <w:color w:val="FF0000"/>
              </w:rPr>
            </w:pPr>
            <w:r>
              <w:rPr>
                <w:color w:val="FF0000"/>
              </w:rPr>
              <w:t>折旧年限</w:t>
            </w:r>
          </w:p>
        </w:tc>
        <w:tc>
          <w:tcPr>
            <w:tcW w:w="1531" w:type="dxa"/>
            <w:tcBorders>
              <w:top w:val="single" w:color="auto" w:sz="12" w:space="0"/>
            </w:tcBorders>
            <w:vAlign w:val="center"/>
          </w:tcPr>
          <w:p>
            <w:pPr>
              <w:tabs>
                <w:tab w:val="left" w:pos="196"/>
                <w:tab w:val="left" w:pos="426"/>
              </w:tabs>
              <w:adjustRightInd w:val="0"/>
              <w:snapToGrid w:val="0"/>
              <w:jc w:val="center"/>
              <w:rPr>
                <w:color w:val="FF0000"/>
              </w:rPr>
            </w:pPr>
            <w:r>
              <w:rPr>
                <w:color w:val="FF0000"/>
              </w:rPr>
              <w:t>残值率</w:t>
            </w:r>
          </w:p>
        </w:tc>
        <w:tc>
          <w:tcPr>
            <w:tcW w:w="1468" w:type="dxa"/>
            <w:tcBorders>
              <w:top w:val="single" w:color="auto" w:sz="12" w:space="0"/>
            </w:tcBorders>
            <w:vAlign w:val="center"/>
          </w:tcPr>
          <w:p>
            <w:pPr>
              <w:tabs>
                <w:tab w:val="left" w:pos="196"/>
                <w:tab w:val="left" w:pos="426"/>
              </w:tabs>
              <w:adjustRightInd w:val="0"/>
              <w:snapToGrid w:val="0"/>
              <w:jc w:val="center"/>
              <w:rPr>
                <w:color w:val="FF0000"/>
              </w:rPr>
            </w:pPr>
            <w:r>
              <w:rPr>
                <w:color w:val="FF0000"/>
              </w:rPr>
              <w:t>年折旧率</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vAlign w:val="center"/>
          </w:tcPr>
          <w:p>
            <w:pPr>
              <w:tabs>
                <w:tab w:val="left" w:pos="196"/>
                <w:tab w:val="left" w:pos="426"/>
              </w:tabs>
              <w:adjustRightInd w:val="0"/>
              <w:snapToGrid w:val="0"/>
              <w:rPr>
                <w:bCs/>
                <w:color w:val="FF0000"/>
              </w:rPr>
            </w:pPr>
            <w:r>
              <w:rPr>
                <w:bCs/>
                <w:color w:val="FF0000"/>
              </w:rPr>
              <w:t>房屋及建筑物</w:t>
            </w:r>
          </w:p>
        </w:tc>
        <w:tc>
          <w:tcPr>
            <w:tcW w:w="1843" w:type="dxa"/>
            <w:vAlign w:val="center"/>
          </w:tcPr>
          <w:p>
            <w:pPr>
              <w:tabs>
                <w:tab w:val="left" w:pos="196"/>
                <w:tab w:val="left" w:pos="426"/>
              </w:tabs>
              <w:adjustRightInd w:val="0"/>
              <w:snapToGrid w:val="0"/>
              <w:jc w:val="center"/>
              <w:rPr>
                <w:bCs/>
                <w:color w:val="FF0000"/>
              </w:rPr>
            </w:pPr>
            <w:r>
              <w:rPr>
                <w:color w:val="FF0000"/>
              </w:rPr>
              <w:t>年限平均法</w:t>
            </w:r>
          </w:p>
        </w:tc>
        <w:tc>
          <w:tcPr>
            <w:tcW w:w="1530" w:type="dxa"/>
            <w:vAlign w:val="center"/>
          </w:tcPr>
          <w:p>
            <w:pPr>
              <w:tabs>
                <w:tab w:val="left" w:pos="196"/>
                <w:tab w:val="left" w:pos="426"/>
              </w:tabs>
              <w:adjustRightInd w:val="0"/>
              <w:snapToGrid w:val="0"/>
              <w:jc w:val="center"/>
              <w:rPr>
                <w:bCs/>
                <w:color w:val="FF0000"/>
              </w:rPr>
            </w:pPr>
            <w:r>
              <w:rPr>
                <w:bCs/>
                <w:color w:val="FF0000"/>
              </w:rPr>
              <w:t>20-40年</w:t>
            </w:r>
          </w:p>
        </w:tc>
        <w:tc>
          <w:tcPr>
            <w:tcW w:w="1531" w:type="dxa"/>
            <w:vAlign w:val="center"/>
          </w:tcPr>
          <w:p>
            <w:pPr>
              <w:tabs>
                <w:tab w:val="left" w:pos="196"/>
                <w:tab w:val="left" w:pos="426"/>
              </w:tabs>
              <w:adjustRightInd w:val="0"/>
              <w:snapToGrid w:val="0"/>
              <w:jc w:val="center"/>
              <w:rPr>
                <w:bCs/>
                <w:color w:val="FF0000"/>
              </w:rPr>
            </w:pPr>
            <w:r>
              <w:rPr>
                <w:bCs/>
                <w:color w:val="FF0000"/>
              </w:rPr>
              <w:t>4%-10%</w:t>
            </w:r>
          </w:p>
        </w:tc>
        <w:tc>
          <w:tcPr>
            <w:tcW w:w="1468" w:type="dxa"/>
            <w:vAlign w:val="center"/>
          </w:tcPr>
          <w:p>
            <w:pPr>
              <w:tabs>
                <w:tab w:val="left" w:pos="196"/>
                <w:tab w:val="left" w:pos="426"/>
              </w:tabs>
              <w:adjustRightInd w:val="0"/>
              <w:snapToGrid w:val="0"/>
              <w:jc w:val="center"/>
              <w:rPr>
                <w:bCs/>
                <w:color w:val="FF0000"/>
              </w:rPr>
            </w:pPr>
            <w:r>
              <w:rPr>
                <w:bCs/>
                <w:color w:val="FF0000"/>
              </w:rPr>
              <w:t>2.25%-4.80%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vAlign w:val="center"/>
          </w:tcPr>
          <w:p>
            <w:pPr>
              <w:tabs>
                <w:tab w:val="left" w:pos="196"/>
                <w:tab w:val="left" w:pos="426"/>
              </w:tabs>
              <w:adjustRightInd w:val="0"/>
              <w:snapToGrid w:val="0"/>
              <w:rPr>
                <w:bCs/>
                <w:color w:val="FF0000"/>
              </w:rPr>
            </w:pPr>
            <w:r>
              <w:rPr>
                <w:bCs/>
                <w:color w:val="FF0000"/>
              </w:rPr>
              <w:t>机器设备</w:t>
            </w:r>
          </w:p>
        </w:tc>
        <w:tc>
          <w:tcPr>
            <w:tcW w:w="1843" w:type="dxa"/>
            <w:vAlign w:val="center"/>
          </w:tcPr>
          <w:p>
            <w:pPr>
              <w:tabs>
                <w:tab w:val="left" w:pos="196"/>
                <w:tab w:val="left" w:pos="426"/>
              </w:tabs>
              <w:adjustRightInd w:val="0"/>
              <w:snapToGrid w:val="0"/>
              <w:jc w:val="center"/>
              <w:rPr>
                <w:bCs/>
                <w:color w:val="FF0000"/>
              </w:rPr>
            </w:pPr>
            <w:r>
              <w:rPr>
                <w:color w:val="FF0000"/>
              </w:rPr>
              <w:t>年限平均法</w:t>
            </w:r>
          </w:p>
        </w:tc>
        <w:tc>
          <w:tcPr>
            <w:tcW w:w="1530" w:type="dxa"/>
            <w:vAlign w:val="center"/>
          </w:tcPr>
          <w:p>
            <w:pPr>
              <w:tabs>
                <w:tab w:val="left" w:pos="196"/>
                <w:tab w:val="left" w:pos="426"/>
              </w:tabs>
              <w:adjustRightInd w:val="0"/>
              <w:snapToGrid w:val="0"/>
              <w:jc w:val="center"/>
              <w:rPr>
                <w:bCs/>
                <w:color w:val="FF0000"/>
              </w:rPr>
            </w:pPr>
            <w:r>
              <w:rPr>
                <w:bCs/>
                <w:color w:val="FF0000"/>
              </w:rPr>
              <w:t>10年</w:t>
            </w:r>
          </w:p>
        </w:tc>
        <w:tc>
          <w:tcPr>
            <w:tcW w:w="1531" w:type="dxa"/>
            <w:vAlign w:val="center"/>
          </w:tcPr>
          <w:p>
            <w:pPr>
              <w:tabs>
                <w:tab w:val="left" w:pos="196"/>
                <w:tab w:val="left" w:pos="426"/>
              </w:tabs>
              <w:adjustRightInd w:val="0"/>
              <w:snapToGrid w:val="0"/>
              <w:jc w:val="center"/>
              <w:rPr>
                <w:bCs/>
                <w:color w:val="FF0000"/>
              </w:rPr>
            </w:pPr>
            <w:r>
              <w:rPr>
                <w:bCs/>
                <w:color w:val="FF0000"/>
              </w:rPr>
              <w:t>4%-10%</w:t>
            </w:r>
          </w:p>
        </w:tc>
        <w:tc>
          <w:tcPr>
            <w:tcW w:w="1468" w:type="dxa"/>
            <w:vAlign w:val="center"/>
          </w:tcPr>
          <w:p>
            <w:pPr>
              <w:tabs>
                <w:tab w:val="left" w:pos="196"/>
                <w:tab w:val="left" w:pos="426"/>
              </w:tabs>
              <w:adjustRightInd w:val="0"/>
              <w:snapToGrid w:val="0"/>
              <w:jc w:val="center"/>
              <w:rPr>
                <w:bCs/>
                <w:color w:val="FF0000"/>
              </w:rPr>
            </w:pPr>
            <w:r>
              <w:rPr>
                <w:bCs/>
                <w:color w:val="FF0000"/>
              </w:rPr>
              <w:t>9%-9.60%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vAlign w:val="center"/>
          </w:tcPr>
          <w:p>
            <w:pPr>
              <w:tabs>
                <w:tab w:val="left" w:pos="196"/>
                <w:tab w:val="left" w:pos="426"/>
              </w:tabs>
              <w:adjustRightInd w:val="0"/>
              <w:snapToGrid w:val="0"/>
              <w:rPr>
                <w:bCs/>
                <w:color w:val="FF0000"/>
              </w:rPr>
            </w:pPr>
            <w:r>
              <w:rPr>
                <w:bCs/>
                <w:color w:val="FF0000"/>
              </w:rPr>
              <w:t>运输设备</w:t>
            </w:r>
          </w:p>
        </w:tc>
        <w:tc>
          <w:tcPr>
            <w:tcW w:w="1843" w:type="dxa"/>
            <w:vAlign w:val="center"/>
          </w:tcPr>
          <w:p>
            <w:pPr>
              <w:tabs>
                <w:tab w:val="left" w:pos="196"/>
                <w:tab w:val="left" w:pos="426"/>
              </w:tabs>
              <w:adjustRightInd w:val="0"/>
              <w:snapToGrid w:val="0"/>
              <w:jc w:val="center"/>
              <w:rPr>
                <w:bCs/>
                <w:color w:val="FF0000"/>
              </w:rPr>
            </w:pPr>
            <w:r>
              <w:rPr>
                <w:color w:val="FF0000"/>
              </w:rPr>
              <w:t>年限平均法</w:t>
            </w:r>
          </w:p>
        </w:tc>
        <w:tc>
          <w:tcPr>
            <w:tcW w:w="1530" w:type="dxa"/>
            <w:vAlign w:val="center"/>
          </w:tcPr>
          <w:p>
            <w:pPr>
              <w:tabs>
                <w:tab w:val="left" w:pos="196"/>
                <w:tab w:val="left" w:pos="426"/>
              </w:tabs>
              <w:adjustRightInd w:val="0"/>
              <w:snapToGrid w:val="0"/>
              <w:jc w:val="center"/>
              <w:rPr>
                <w:bCs/>
                <w:color w:val="FF0000"/>
              </w:rPr>
            </w:pPr>
            <w:r>
              <w:rPr>
                <w:bCs/>
                <w:color w:val="FF0000"/>
              </w:rPr>
              <w:t>4-5年</w:t>
            </w:r>
          </w:p>
        </w:tc>
        <w:tc>
          <w:tcPr>
            <w:tcW w:w="1531" w:type="dxa"/>
            <w:vAlign w:val="center"/>
          </w:tcPr>
          <w:p>
            <w:pPr>
              <w:tabs>
                <w:tab w:val="left" w:pos="196"/>
                <w:tab w:val="left" w:pos="426"/>
              </w:tabs>
              <w:adjustRightInd w:val="0"/>
              <w:snapToGrid w:val="0"/>
              <w:jc w:val="center"/>
              <w:rPr>
                <w:bCs/>
                <w:color w:val="FF0000"/>
              </w:rPr>
            </w:pPr>
            <w:r>
              <w:rPr>
                <w:bCs/>
                <w:color w:val="FF0000"/>
              </w:rPr>
              <w:t>4%-10%</w:t>
            </w:r>
          </w:p>
        </w:tc>
        <w:tc>
          <w:tcPr>
            <w:tcW w:w="1468" w:type="dxa"/>
            <w:vAlign w:val="center"/>
          </w:tcPr>
          <w:p>
            <w:pPr>
              <w:tabs>
                <w:tab w:val="left" w:pos="196"/>
                <w:tab w:val="left" w:pos="426"/>
              </w:tabs>
              <w:adjustRightInd w:val="0"/>
              <w:snapToGrid w:val="0"/>
              <w:jc w:val="center"/>
              <w:rPr>
                <w:bCs/>
                <w:color w:val="FF0000"/>
              </w:rPr>
            </w:pPr>
            <w:r>
              <w:rPr>
                <w:bCs/>
                <w:color w:val="FF0000"/>
              </w:rPr>
              <w:t>18%-24.00%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tcBorders>
              <w:bottom w:val="single" w:color="auto" w:sz="12" w:space="0"/>
            </w:tcBorders>
            <w:vAlign w:val="center"/>
          </w:tcPr>
          <w:p>
            <w:pPr>
              <w:tabs>
                <w:tab w:val="left" w:pos="196"/>
                <w:tab w:val="left" w:pos="426"/>
              </w:tabs>
              <w:adjustRightInd w:val="0"/>
              <w:snapToGrid w:val="0"/>
              <w:rPr>
                <w:bCs/>
                <w:color w:val="FF0000"/>
              </w:rPr>
            </w:pPr>
            <w:r>
              <w:rPr>
                <w:bCs/>
                <w:color w:val="FF0000"/>
              </w:rPr>
              <w:t>电子及其他设备</w:t>
            </w:r>
          </w:p>
        </w:tc>
        <w:tc>
          <w:tcPr>
            <w:tcW w:w="1843" w:type="dxa"/>
            <w:tcBorders>
              <w:bottom w:val="single" w:color="auto" w:sz="12" w:space="0"/>
            </w:tcBorders>
            <w:vAlign w:val="center"/>
          </w:tcPr>
          <w:p>
            <w:pPr>
              <w:tabs>
                <w:tab w:val="left" w:pos="196"/>
                <w:tab w:val="left" w:pos="426"/>
              </w:tabs>
              <w:adjustRightInd w:val="0"/>
              <w:snapToGrid w:val="0"/>
              <w:jc w:val="center"/>
              <w:rPr>
                <w:bCs/>
                <w:color w:val="FF0000"/>
              </w:rPr>
            </w:pPr>
            <w:r>
              <w:rPr>
                <w:color w:val="FF0000"/>
              </w:rPr>
              <w:t>年限平均法</w:t>
            </w:r>
          </w:p>
        </w:tc>
        <w:tc>
          <w:tcPr>
            <w:tcW w:w="1530" w:type="dxa"/>
            <w:tcBorders>
              <w:bottom w:val="single" w:color="auto" w:sz="12" w:space="0"/>
            </w:tcBorders>
            <w:vAlign w:val="center"/>
          </w:tcPr>
          <w:p>
            <w:pPr>
              <w:tabs>
                <w:tab w:val="left" w:pos="196"/>
                <w:tab w:val="left" w:pos="426"/>
              </w:tabs>
              <w:adjustRightInd w:val="0"/>
              <w:snapToGrid w:val="0"/>
              <w:jc w:val="center"/>
              <w:rPr>
                <w:bCs/>
                <w:color w:val="FF0000"/>
              </w:rPr>
            </w:pPr>
            <w:r>
              <w:rPr>
                <w:bCs/>
                <w:color w:val="FF0000"/>
              </w:rPr>
              <w:t>3-5年</w:t>
            </w:r>
          </w:p>
        </w:tc>
        <w:tc>
          <w:tcPr>
            <w:tcW w:w="1531" w:type="dxa"/>
            <w:tcBorders>
              <w:bottom w:val="single" w:color="auto" w:sz="12" w:space="0"/>
            </w:tcBorders>
            <w:vAlign w:val="center"/>
          </w:tcPr>
          <w:p>
            <w:pPr>
              <w:tabs>
                <w:tab w:val="left" w:pos="196"/>
                <w:tab w:val="left" w:pos="426"/>
              </w:tabs>
              <w:adjustRightInd w:val="0"/>
              <w:snapToGrid w:val="0"/>
              <w:jc w:val="center"/>
              <w:rPr>
                <w:bCs/>
                <w:color w:val="FF0000"/>
              </w:rPr>
            </w:pPr>
            <w:r>
              <w:rPr>
                <w:bCs/>
                <w:color w:val="FF0000"/>
              </w:rPr>
              <w:t>4%-10%</w:t>
            </w:r>
          </w:p>
        </w:tc>
        <w:tc>
          <w:tcPr>
            <w:tcW w:w="1468" w:type="dxa"/>
            <w:tcBorders>
              <w:bottom w:val="single" w:color="auto" w:sz="12" w:space="0"/>
            </w:tcBorders>
            <w:vAlign w:val="center"/>
          </w:tcPr>
          <w:p>
            <w:pPr>
              <w:tabs>
                <w:tab w:val="left" w:pos="196"/>
                <w:tab w:val="left" w:pos="426"/>
              </w:tabs>
              <w:adjustRightInd w:val="0"/>
              <w:snapToGrid w:val="0"/>
              <w:jc w:val="center"/>
              <w:rPr>
                <w:bCs/>
                <w:color w:val="FF0000"/>
              </w:rPr>
            </w:pPr>
            <w:r>
              <w:rPr>
                <w:bCs/>
                <w:color w:val="FF0000"/>
              </w:rPr>
              <w:t>18%-32.00%</w:t>
            </w:r>
          </w:p>
        </w:tc>
      </w:tr>
    </w:tbl>
    <w:p>
      <w:pPr>
        <w:pStyle w:val="7"/>
        <w:widowControl w:val="0"/>
        <w:tabs>
          <w:tab w:val="left" w:pos="196"/>
          <w:tab w:val="left" w:pos="426"/>
        </w:tabs>
        <w:spacing w:line="240" w:lineRule="auto"/>
        <w:ind w:left="0" w:leftChars="0" w:firstLine="420" w:firstLineChars="200"/>
        <w:rPr>
          <w:rFonts w:ascii="Times New Roman" w:hAnsi="Times New Roman"/>
          <w:color w:val="FF0000"/>
        </w:rPr>
      </w:pPr>
      <w:bookmarkStart w:id="2" w:name="_Toc161412339"/>
    </w:p>
    <w:p>
      <w:pPr>
        <w:pStyle w:val="7"/>
        <w:widowControl w:val="0"/>
        <w:numPr>
          <w:ilvl w:val="0"/>
          <w:numId w:val="3"/>
        </w:numPr>
        <w:tabs>
          <w:tab w:val="left" w:pos="196"/>
          <w:tab w:val="left" w:pos="426"/>
        </w:tabs>
        <w:spacing w:line="360" w:lineRule="auto"/>
        <w:ind w:left="0" w:leftChars="0" w:firstLine="420"/>
        <w:outlineLvl w:val="4"/>
        <w:rPr>
          <w:rFonts w:ascii="Times New Roman" w:hAnsi="Times New Roman"/>
          <w:color w:val="FF0000"/>
        </w:rPr>
      </w:pPr>
      <w:r>
        <w:rPr>
          <w:rFonts w:ascii="Times New Roman" w:hAnsi="Times New Roman"/>
          <w:color w:val="FF0000"/>
        </w:rPr>
        <w:t>固定资产的后续支出</w:t>
      </w:r>
    </w:p>
    <w:p>
      <w:pPr>
        <w:pStyle w:val="8"/>
        <w:spacing w:afterLines="0"/>
        <w:ind w:firstLine="480"/>
        <w:rPr>
          <w:color w:val="FF0000"/>
          <w:szCs w:val="21"/>
        </w:rPr>
      </w:pPr>
      <w:r>
        <w:rPr>
          <w:color w:val="FF0000"/>
          <w:szCs w:val="21"/>
        </w:rPr>
        <w:t>与固定资产有关的后续支出，符合固定资产确认条件的，计入固定资产成本；不符合固定资产确认条件的，在发生时计入当期损益。</w:t>
      </w:r>
    </w:p>
    <w:p>
      <w:pPr>
        <w:pStyle w:val="7"/>
        <w:widowControl w:val="0"/>
        <w:numPr>
          <w:ilvl w:val="0"/>
          <w:numId w:val="3"/>
        </w:numPr>
        <w:tabs>
          <w:tab w:val="left" w:pos="196"/>
          <w:tab w:val="left" w:pos="426"/>
        </w:tabs>
        <w:spacing w:line="360" w:lineRule="auto"/>
        <w:ind w:left="0" w:leftChars="0" w:firstLine="420"/>
        <w:outlineLvl w:val="4"/>
        <w:rPr>
          <w:rFonts w:ascii="Times New Roman" w:hAnsi="Times New Roman"/>
          <w:color w:val="FF0000"/>
        </w:rPr>
      </w:pPr>
      <w:r>
        <w:rPr>
          <w:rFonts w:ascii="Times New Roman" w:hAnsi="Times New Roman"/>
          <w:color w:val="FF0000"/>
        </w:rPr>
        <w:t>固定资产处置</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当固定资产被处置、或者预期通过使用或处置不能产生经济利益时，终止确认该固定资产。固定资产出售、转让、报废或毁损的处置收入扣除其账面价值和相关税费后的金额计入当期损益。</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融资租入固定资产的认定依据、计价和折旧方法</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当本公司租入的固定资产符合下列一项或数项标准时，确认为融资租入固定资产：</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（1）在租赁期届满时，租赁资产的所有权转移给本公司。</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（2）本公司有购买租赁资产的选择权，所订立的购买价款预计将远低于行使选择权时租赁资产的公允价值，因而在租赁开始日就可以合理确定本公司将会行使这种选择权。</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（3）即使资产的所有权不转移，但租赁期占租赁资产使用寿命的大部分。</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（4）本公司在租赁开始日的最低租赁付款额现值，几乎相当于租赁开始日租赁资产公允价值。</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（5）租赁资产性质特殊，如果不作较大改造，只有本公司才能使用。</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融资租赁租入的固定资产，按租赁开始日租赁资产公允价值与最低租赁付款额的现值两者中较低者，作为入账价值。最低租赁付款额作为长期应付款的入账价值，其差额作为未确认融资费用。在租赁谈判和签订租赁合同过程中发生的，可归属于租赁项目的手续费、律师费、差旅费、印花税等初始直接费用，计入租入资产价值。未确认融资费用在租赁期内各个期间采用实际利率法进行分摊。</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本公司采用与自有固定资产相一致的折旧政策计提融资租入固定资产折旧。能够合理确定租赁期届满时取得租赁资产所有权的，在租赁资产使用寿命内计提折旧。无法合理确定租赁期届满时能够取得租赁资产所有权的，在租赁期与租赁资产使用寿命两者中较短的期间内计提折旧。</w:t>
      </w:r>
      <w:bookmarkEnd w:id="2"/>
    </w:p>
    <w:p>
      <w:pPr>
        <w:pStyle w:val="5"/>
        <w:widowControl w:val="0"/>
        <w:numPr>
          <w:ilvl w:val="0"/>
          <w:numId w:val="1"/>
        </w:numPr>
        <w:spacing w:beforeLines="50" w:after="0" w:line="360" w:lineRule="auto"/>
        <w:ind w:left="0" w:firstLine="422"/>
        <w:outlineLvl w:val="2"/>
        <w:rPr>
          <w:rFonts w:ascii="Times New Roman" w:hAnsi="Times New Roman"/>
          <w:color w:val="FF0000"/>
          <w:szCs w:val="21"/>
        </w:rPr>
      </w:pPr>
      <w:r>
        <w:rPr>
          <w:rFonts w:ascii="Times New Roman" w:hAnsi="Times New Roman"/>
          <w:color w:val="FF0000"/>
          <w:szCs w:val="21"/>
        </w:rPr>
        <w:t>在建工程</w:t>
      </w:r>
    </w:p>
    <w:p>
      <w:pPr>
        <w:pStyle w:val="6"/>
        <w:widowControl w:val="0"/>
        <w:numPr>
          <w:ilvl w:val="0"/>
          <w:numId w:val="4"/>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在建工程初始计量</w:t>
      </w:r>
    </w:p>
    <w:p>
      <w:pPr>
        <w:pStyle w:val="8"/>
        <w:widowControl w:val="0"/>
        <w:tabs>
          <w:tab w:val="left" w:pos="196"/>
          <w:tab w:val="left" w:pos="426"/>
          <w:tab w:val="left" w:pos="630"/>
        </w:tabs>
        <w:spacing w:afterLines="0"/>
        <w:ind w:firstLine="480"/>
        <w:rPr>
          <w:color w:val="FF0000"/>
          <w:szCs w:val="21"/>
          <w:shd w:val="pct10" w:color="auto" w:fill="FFFFFF"/>
        </w:rPr>
      </w:pPr>
      <w:r>
        <w:rPr>
          <w:color w:val="FF0000"/>
        </w:rP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6"/>
        <w:widowControl w:val="0"/>
        <w:numPr>
          <w:ilvl w:val="0"/>
          <w:numId w:val="4"/>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在建工程结转为固定资产的标准和时点</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rPr>
          <w:rFonts w:ascii="Times New Roman" w:hAnsi="Times New Roman"/>
          <w:color w:val="FF0000"/>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5"/>
        <w:widowControl w:val="0"/>
        <w:numPr>
          <w:ilvl w:val="0"/>
          <w:numId w:val="1"/>
        </w:numPr>
        <w:spacing w:beforeLines="50" w:after="0" w:line="360" w:lineRule="auto"/>
        <w:ind w:left="0" w:firstLine="422"/>
        <w:outlineLvl w:val="2"/>
        <w:rPr>
          <w:rFonts w:ascii="Times New Roman" w:hAnsi="Times New Roman"/>
          <w:color w:val="FF0000"/>
          <w:szCs w:val="21"/>
        </w:rPr>
      </w:pPr>
      <w:r>
        <w:rPr>
          <w:rFonts w:ascii="Times New Roman" w:hAnsi="Times New Roman"/>
          <w:color w:val="FF0000"/>
          <w:szCs w:val="21"/>
        </w:rPr>
        <w:t>借款费用</w:t>
      </w: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借款费用资本化的确认原则</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本公司发生的借款费用，可直接归属于符合资本化条件的资产的购建或者生产的，予以资本化，计入相关资产成本；其他借款费用，在发生时根据其发生额确认为费用，计入当期损益。</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符合资本化条件的资产，是指需要经过相当长时间的购建或者生产活动才能达到预定可使用或者可销售状态的固定资产、投资性房地产和存货等资产。</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借款费用同时满足下列条件时开始资本化：</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（1）资产支出已经发生，资产支出包括为购建或者生产符合资本化条件的资产而以支付现金、转移非现金资产或者承担带息债务形式发生的支出；</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（2）借款费用已经发生；</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（3）为使资产达到预定可使用或者可销售状态所必要的购建或者生产活动已经开始。</w:t>
      </w: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借款费用资本化期间</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资本化期间，指从借款费用开始资本化时点到停止资本化时点的期间，借款费用暂停资本化的期间不包括在内。</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当购建或者生产符合资本化条件的资产达到预定可使用或者可销售状态时，借款费用停止资本化。</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当购建或者生产符合资本化条件的资产中部分项目分别完工且可单独使用时，该部分资产借款费用停止资本化。</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购建或者生产的资产的各部分分别完工，但必须等到整体完工后才可使用或可对外销售的，在该资产整体完工时停止借款费用资本化。</w:t>
      </w:r>
    </w:p>
    <w:p>
      <w:pPr>
        <w:pStyle w:val="6"/>
        <w:widowControl w:val="0"/>
        <w:tabs>
          <w:tab w:val="clear" w:pos="1273"/>
        </w:tabs>
        <w:spacing w:line="360" w:lineRule="auto"/>
        <w:ind w:left="782" w:leftChars="0" w:firstLine="0" w:firstLineChars="0"/>
        <w:outlineLvl w:val="3"/>
        <w:rPr>
          <w:rFonts w:ascii="Times New Roman" w:hAnsi="Times New Roman"/>
          <w:color w:val="FF0000"/>
        </w:rPr>
      </w:pP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暂停资本化期间</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符合资本化条件的资产在购建或生产过程中发生的非正常中断、且中断时间连续超过3个月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rPr>
          <w:rFonts w:ascii="Times New Roman" w:hAnsi="Times New Roman"/>
          <w:color w:val="FF0000"/>
        </w:rPr>
        <w:t>借款费用资本化金额的计算方法</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rPr>
          <w:rFonts w:ascii="Times New Roman" w:hAnsi="Times New Roman"/>
          <w:bCs/>
          <w:color w:val="FF0000"/>
        </w:rPr>
        <w:t>根据累计资产支出超过专门借款部分的资产支出加权平均数乘以所占用一般借款的资本化率，计算确定一般借款应予资本化的利息金额。资本化率根据一般借款加权平均利率计算确定。</w:t>
      </w:r>
    </w:p>
    <w:p>
      <w:r>
        <w:rPr>
          <w:rFonts w:ascii="Times New Roman" w:hAnsi="Times New Roman"/>
          <w:bCs/>
          <w:color w:val="FF0000"/>
        </w:rPr>
        <w:t>借款存在折价或者溢价的，按照实际利率法确定每一会计期间应摊销的折价或者溢价金额，调整每期利息金额。</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F3354"/>
    <w:multiLevelType w:val="multilevel"/>
    <w:tmpl w:val="189F3354"/>
    <w:lvl w:ilvl="0" w:tentative="0">
      <w:start w:val="1"/>
      <w:numFmt w:val="decimal"/>
      <w:lvlText w:val="%1．"/>
      <w:lvlJc w:val="left"/>
      <w:pPr>
        <w:ind w:left="782" w:hanging="360"/>
      </w:pPr>
      <w:rPr>
        <w:rFonts w:hint="default" w:cs="Times New Roman"/>
      </w:rPr>
    </w:lvl>
    <w:lvl w:ilvl="1" w:tentative="0">
      <w:start w:val="1"/>
      <w:numFmt w:val="lowerLetter"/>
      <w:lvlText w:val="%2)"/>
      <w:lvlJc w:val="left"/>
      <w:pPr>
        <w:ind w:left="1262" w:hanging="420"/>
      </w:pPr>
      <w:rPr>
        <w:rFonts w:cs="Times New Roman"/>
      </w:rPr>
    </w:lvl>
    <w:lvl w:ilvl="2" w:tentative="0">
      <w:start w:val="1"/>
      <w:numFmt w:val="lowerRoman"/>
      <w:lvlText w:val="%3."/>
      <w:lvlJc w:val="right"/>
      <w:pPr>
        <w:ind w:left="1682" w:hanging="420"/>
      </w:pPr>
      <w:rPr>
        <w:rFonts w:cs="Times New Roman"/>
      </w:rPr>
    </w:lvl>
    <w:lvl w:ilvl="3" w:tentative="0">
      <w:start w:val="1"/>
      <w:numFmt w:val="decimal"/>
      <w:lvlText w:val="%4."/>
      <w:lvlJc w:val="left"/>
      <w:pPr>
        <w:ind w:left="2102" w:hanging="420"/>
      </w:pPr>
      <w:rPr>
        <w:rFonts w:cs="Times New Roman"/>
      </w:rPr>
    </w:lvl>
    <w:lvl w:ilvl="4" w:tentative="0">
      <w:start w:val="1"/>
      <w:numFmt w:val="lowerLetter"/>
      <w:lvlText w:val="%5)"/>
      <w:lvlJc w:val="left"/>
      <w:pPr>
        <w:ind w:left="2522" w:hanging="420"/>
      </w:pPr>
      <w:rPr>
        <w:rFonts w:cs="Times New Roman"/>
      </w:rPr>
    </w:lvl>
    <w:lvl w:ilvl="5" w:tentative="0">
      <w:start w:val="1"/>
      <w:numFmt w:val="lowerRoman"/>
      <w:lvlText w:val="%6."/>
      <w:lvlJc w:val="right"/>
      <w:pPr>
        <w:ind w:left="2942" w:hanging="420"/>
      </w:pPr>
      <w:rPr>
        <w:rFonts w:cs="Times New Roman"/>
      </w:rPr>
    </w:lvl>
    <w:lvl w:ilvl="6" w:tentative="0">
      <w:start w:val="1"/>
      <w:numFmt w:val="decimal"/>
      <w:lvlText w:val="%7."/>
      <w:lvlJc w:val="left"/>
      <w:pPr>
        <w:ind w:left="3362" w:hanging="420"/>
      </w:pPr>
      <w:rPr>
        <w:rFonts w:cs="Times New Roman"/>
      </w:rPr>
    </w:lvl>
    <w:lvl w:ilvl="7" w:tentative="0">
      <w:start w:val="1"/>
      <w:numFmt w:val="lowerLetter"/>
      <w:lvlText w:val="%8)"/>
      <w:lvlJc w:val="left"/>
      <w:pPr>
        <w:ind w:left="3782" w:hanging="420"/>
      </w:pPr>
      <w:rPr>
        <w:rFonts w:cs="Times New Roman"/>
      </w:rPr>
    </w:lvl>
    <w:lvl w:ilvl="8" w:tentative="0">
      <w:start w:val="1"/>
      <w:numFmt w:val="lowerRoman"/>
      <w:lvlText w:val="%9."/>
      <w:lvlJc w:val="right"/>
      <w:pPr>
        <w:ind w:left="4202" w:hanging="420"/>
      </w:pPr>
      <w:rPr>
        <w:rFonts w:cs="Times New Roman"/>
      </w:rPr>
    </w:lvl>
  </w:abstractNum>
  <w:abstractNum w:abstractNumId="1">
    <w:nsid w:val="58742831"/>
    <w:multiLevelType w:val="multilevel"/>
    <w:tmpl w:val="58742831"/>
    <w:lvl w:ilvl="0" w:tentative="0">
      <w:start w:val="1"/>
      <w:numFmt w:val="decimal"/>
      <w:lvlText w:val="%1．"/>
      <w:lvlJc w:val="left"/>
      <w:pPr>
        <w:ind w:left="782" w:hanging="360"/>
      </w:pPr>
      <w:rPr>
        <w:rFonts w:hint="default" w:cs="Times New Roman"/>
      </w:rPr>
    </w:lvl>
    <w:lvl w:ilvl="1" w:tentative="0">
      <w:start w:val="1"/>
      <w:numFmt w:val="lowerLetter"/>
      <w:lvlText w:val="%2)"/>
      <w:lvlJc w:val="left"/>
      <w:pPr>
        <w:ind w:left="1262" w:hanging="420"/>
      </w:pPr>
      <w:rPr>
        <w:rFonts w:cs="Times New Roman"/>
      </w:rPr>
    </w:lvl>
    <w:lvl w:ilvl="2" w:tentative="0">
      <w:start w:val="1"/>
      <w:numFmt w:val="lowerRoman"/>
      <w:lvlText w:val="%3."/>
      <w:lvlJc w:val="right"/>
      <w:pPr>
        <w:ind w:left="1682" w:hanging="420"/>
      </w:pPr>
      <w:rPr>
        <w:rFonts w:cs="Times New Roman"/>
      </w:rPr>
    </w:lvl>
    <w:lvl w:ilvl="3" w:tentative="0">
      <w:start w:val="1"/>
      <w:numFmt w:val="decimal"/>
      <w:lvlText w:val="%4."/>
      <w:lvlJc w:val="left"/>
      <w:pPr>
        <w:ind w:left="2102" w:hanging="420"/>
      </w:pPr>
      <w:rPr>
        <w:rFonts w:cs="Times New Roman"/>
      </w:rPr>
    </w:lvl>
    <w:lvl w:ilvl="4" w:tentative="0">
      <w:start w:val="1"/>
      <w:numFmt w:val="lowerLetter"/>
      <w:lvlText w:val="%5)"/>
      <w:lvlJc w:val="left"/>
      <w:pPr>
        <w:ind w:left="2522" w:hanging="420"/>
      </w:pPr>
      <w:rPr>
        <w:rFonts w:cs="Times New Roman"/>
      </w:rPr>
    </w:lvl>
    <w:lvl w:ilvl="5" w:tentative="0">
      <w:start w:val="1"/>
      <w:numFmt w:val="lowerRoman"/>
      <w:lvlText w:val="%6."/>
      <w:lvlJc w:val="right"/>
      <w:pPr>
        <w:ind w:left="2942" w:hanging="420"/>
      </w:pPr>
      <w:rPr>
        <w:rFonts w:cs="Times New Roman"/>
      </w:rPr>
    </w:lvl>
    <w:lvl w:ilvl="6" w:tentative="0">
      <w:start w:val="1"/>
      <w:numFmt w:val="decimal"/>
      <w:lvlText w:val="%7."/>
      <w:lvlJc w:val="left"/>
      <w:pPr>
        <w:ind w:left="3362" w:hanging="420"/>
      </w:pPr>
      <w:rPr>
        <w:rFonts w:cs="Times New Roman"/>
      </w:rPr>
    </w:lvl>
    <w:lvl w:ilvl="7" w:tentative="0">
      <w:start w:val="1"/>
      <w:numFmt w:val="lowerLetter"/>
      <w:lvlText w:val="%8)"/>
      <w:lvlJc w:val="left"/>
      <w:pPr>
        <w:ind w:left="3782" w:hanging="420"/>
      </w:pPr>
      <w:rPr>
        <w:rFonts w:cs="Times New Roman"/>
      </w:rPr>
    </w:lvl>
    <w:lvl w:ilvl="8" w:tentative="0">
      <w:start w:val="1"/>
      <w:numFmt w:val="lowerRoman"/>
      <w:lvlText w:val="%9."/>
      <w:lvlJc w:val="right"/>
      <w:pPr>
        <w:ind w:left="4202" w:hanging="420"/>
      </w:pPr>
      <w:rPr>
        <w:rFonts w:cs="Times New Roman"/>
      </w:rPr>
    </w:lvl>
  </w:abstractNum>
  <w:abstractNum w:abstractNumId="2">
    <w:nsid w:val="672E2636"/>
    <w:multiLevelType w:val="multilevel"/>
    <w:tmpl w:val="672E2636"/>
    <w:lvl w:ilvl="0" w:tentative="0">
      <w:start w:val="1"/>
      <w:numFmt w:val="decimal"/>
      <w:lvlText w:val="%1．"/>
      <w:lvlJc w:val="left"/>
      <w:pPr>
        <w:ind w:left="782" w:hanging="360"/>
      </w:pPr>
      <w:rPr>
        <w:rFonts w:hint="default" w:cs="Times New Roman"/>
      </w:rPr>
    </w:lvl>
    <w:lvl w:ilvl="1" w:tentative="0">
      <w:start w:val="1"/>
      <w:numFmt w:val="lowerLetter"/>
      <w:lvlText w:val="%2)"/>
      <w:lvlJc w:val="left"/>
      <w:pPr>
        <w:ind w:left="1262" w:hanging="420"/>
      </w:pPr>
      <w:rPr>
        <w:rFonts w:cs="Times New Roman"/>
      </w:rPr>
    </w:lvl>
    <w:lvl w:ilvl="2" w:tentative="0">
      <w:start w:val="1"/>
      <w:numFmt w:val="lowerRoman"/>
      <w:lvlText w:val="%3."/>
      <w:lvlJc w:val="right"/>
      <w:pPr>
        <w:ind w:left="1682" w:hanging="420"/>
      </w:pPr>
      <w:rPr>
        <w:rFonts w:cs="Times New Roman"/>
      </w:rPr>
    </w:lvl>
    <w:lvl w:ilvl="3" w:tentative="0">
      <w:start w:val="1"/>
      <w:numFmt w:val="decimal"/>
      <w:lvlText w:val="%4."/>
      <w:lvlJc w:val="left"/>
      <w:pPr>
        <w:ind w:left="2102" w:hanging="420"/>
      </w:pPr>
      <w:rPr>
        <w:rFonts w:cs="Times New Roman"/>
      </w:rPr>
    </w:lvl>
    <w:lvl w:ilvl="4" w:tentative="0">
      <w:start w:val="1"/>
      <w:numFmt w:val="lowerLetter"/>
      <w:lvlText w:val="%5)"/>
      <w:lvlJc w:val="left"/>
      <w:pPr>
        <w:ind w:left="2522" w:hanging="420"/>
      </w:pPr>
      <w:rPr>
        <w:rFonts w:cs="Times New Roman"/>
      </w:rPr>
    </w:lvl>
    <w:lvl w:ilvl="5" w:tentative="0">
      <w:start w:val="1"/>
      <w:numFmt w:val="lowerRoman"/>
      <w:lvlText w:val="%6."/>
      <w:lvlJc w:val="right"/>
      <w:pPr>
        <w:ind w:left="2942" w:hanging="420"/>
      </w:pPr>
      <w:rPr>
        <w:rFonts w:cs="Times New Roman"/>
      </w:rPr>
    </w:lvl>
    <w:lvl w:ilvl="6" w:tentative="0">
      <w:start w:val="1"/>
      <w:numFmt w:val="decimal"/>
      <w:lvlText w:val="%7."/>
      <w:lvlJc w:val="left"/>
      <w:pPr>
        <w:ind w:left="3362" w:hanging="420"/>
      </w:pPr>
      <w:rPr>
        <w:rFonts w:cs="Times New Roman"/>
      </w:rPr>
    </w:lvl>
    <w:lvl w:ilvl="7" w:tentative="0">
      <w:start w:val="1"/>
      <w:numFmt w:val="lowerLetter"/>
      <w:lvlText w:val="%8)"/>
      <w:lvlJc w:val="left"/>
      <w:pPr>
        <w:ind w:left="3782" w:hanging="420"/>
      </w:pPr>
      <w:rPr>
        <w:rFonts w:cs="Times New Roman"/>
      </w:rPr>
    </w:lvl>
    <w:lvl w:ilvl="8" w:tentative="0">
      <w:start w:val="1"/>
      <w:numFmt w:val="lowerRoman"/>
      <w:lvlText w:val="%9."/>
      <w:lvlJc w:val="right"/>
      <w:pPr>
        <w:ind w:left="4202" w:hanging="420"/>
      </w:pPr>
      <w:rPr>
        <w:rFonts w:cs="Times New Roman"/>
      </w:rPr>
    </w:lvl>
  </w:abstractNum>
  <w:abstractNum w:abstractNumId="3">
    <w:nsid w:val="787F7150"/>
    <w:multiLevelType w:val="multilevel"/>
    <w:tmpl w:val="787F7150"/>
    <w:lvl w:ilvl="0" w:tentative="0">
      <w:start w:val="1"/>
      <w:numFmt w:val="decimal"/>
      <w:lvlText w:val="（%1）"/>
      <w:lvlJc w:val="left"/>
      <w:pPr>
        <w:ind w:left="840" w:hanging="42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
    <w:nsid w:val="7F582C13"/>
    <w:multiLevelType w:val="multilevel"/>
    <w:tmpl w:val="7F582C13"/>
    <w:lvl w:ilvl="0" w:tentative="0">
      <w:start w:val="1"/>
      <w:numFmt w:val="chineseCountingThousand"/>
      <w:lvlText w:val="(%1)"/>
      <w:lvlJc w:val="left"/>
      <w:pPr>
        <w:ind w:left="840" w:hanging="420"/>
      </w:pPr>
      <w:rPr>
        <w:rFonts w:hint="eastAsia" w:cs="Times New Roman"/>
      </w:rPr>
    </w:lvl>
    <w:lvl w:ilvl="1" w:tentative="0">
      <w:start w:val="1"/>
      <w:numFmt w:val="decimal"/>
      <w:lvlText w:val="（%2）"/>
      <w:lvlJc w:val="left"/>
      <w:pPr>
        <w:ind w:left="1140" w:hanging="720"/>
      </w:pPr>
      <w:rPr>
        <w:rFonts w:hint="default"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00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40" w:after="40"/>
      <w:jc w:val="both"/>
    </w:pPr>
    <w:rPr>
      <w:rFonts w:ascii="Times New Roman" w:hAnsi="Times New Roman" w:eastAsia="宋体" w:cs="Times New Roman"/>
      <w:kern w:val="2"/>
      <w:sz w:val="18"/>
      <w:szCs w:val="18"/>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99"/>
    <w:pPr>
      <w:widowControl/>
      <w:spacing w:before="0" w:after="0"/>
      <w:ind w:firstLine="555"/>
      <w:jc w:val="left"/>
    </w:pPr>
    <w:rPr>
      <w:rFonts w:ascii="宋体" w:hAnsi="宋体"/>
      <w:kern w:val="0"/>
      <w:sz w:val="24"/>
      <w:szCs w:val="24"/>
    </w:rPr>
  </w:style>
  <w:style w:type="paragraph" w:customStyle="1" w:styleId="5">
    <w:name w:val="审计报告2级"/>
    <w:basedOn w:val="1"/>
    <w:qFormat/>
    <w:uiPriority w:val="0"/>
    <w:pPr>
      <w:widowControl/>
      <w:snapToGrid w:val="0"/>
      <w:spacing w:before="240" w:after="240" w:line="360" w:lineRule="exact"/>
      <w:jc w:val="left"/>
      <w:outlineLvl w:val="1"/>
    </w:pPr>
    <w:rPr>
      <w:rFonts w:ascii="宋体" w:hAnsi="宋体"/>
      <w:b/>
      <w:color w:val="0000FF"/>
      <w:sz w:val="21"/>
      <w:szCs w:val="20"/>
    </w:rPr>
  </w:style>
  <w:style w:type="paragraph" w:customStyle="1" w:styleId="6">
    <w:name w:val="附注三级"/>
    <w:basedOn w:val="1"/>
    <w:qFormat/>
    <w:uiPriority w:val="0"/>
    <w:pPr>
      <w:widowControl/>
      <w:tabs>
        <w:tab w:val="left" w:pos="1273"/>
      </w:tabs>
      <w:adjustRightInd w:val="0"/>
      <w:snapToGrid w:val="0"/>
      <w:spacing w:before="0" w:after="0" w:line="400" w:lineRule="atLeast"/>
      <w:ind w:left="1256" w:leftChars="342" w:hanging="538" w:hangingChars="255"/>
      <w:jc w:val="left"/>
    </w:pPr>
    <w:rPr>
      <w:rFonts w:ascii="宋体" w:hAnsi="宋体"/>
      <w:b/>
      <w:bCs/>
      <w:sz w:val="21"/>
      <w:szCs w:val="21"/>
    </w:rPr>
  </w:style>
  <w:style w:type="paragraph" w:customStyle="1" w:styleId="7">
    <w:name w:val="附注三级正文"/>
    <w:basedOn w:val="1"/>
    <w:qFormat/>
    <w:uiPriority w:val="0"/>
    <w:pPr>
      <w:widowControl/>
      <w:tabs>
        <w:tab w:val="left" w:pos="630"/>
      </w:tabs>
      <w:adjustRightInd w:val="0"/>
      <w:snapToGrid w:val="0"/>
      <w:spacing w:before="0" w:after="0" w:line="400" w:lineRule="atLeast"/>
      <w:ind w:left="1260" w:leftChars="600"/>
      <w:jc w:val="left"/>
    </w:pPr>
    <w:rPr>
      <w:rFonts w:ascii="宋体" w:hAnsi="宋体"/>
      <w:sz w:val="21"/>
      <w:szCs w:val="21"/>
    </w:rPr>
  </w:style>
  <w:style w:type="paragraph" w:customStyle="1" w:styleId="8">
    <w:name w:val="附注－正文"/>
    <w:basedOn w:val="2"/>
    <w:qFormat/>
    <w:uiPriority w:val="0"/>
    <w:pPr>
      <w:adjustRightInd w:val="0"/>
      <w:snapToGrid w:val="0"/>
      <w:spacing w:afterLines="50" w:line="360" w:lineRule="auto"/>
      <w:ind w:firstLine="200" w:firstLineChars="200"/>
    </w:pPr>
    <w:rPr>
      <w:rFonts w:ascii="Times New Roman" w:hAnsi="Times New Roman"/>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41698</dc:creator>
  <cp:lastModifiedBy>xhy</cp:lastModifiedBy>
  <dcterms:modified xsi:type="dcterms:W3CDTF">2019-05-23T02:27:23Z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