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86744">
      <w:pPr>
        <w:jc w:val="center"/>
        <w:rPr>
          <w:rFonts w:ascii="楷体_GB2312" w:eastAsia="楷体_GB2312" w:hint="eastAsia"/>
          <w:sz w:val="52"/>
          <w:szCs w:val="52"/>
        </w:rPr>
      </w:pPr>
      <w:r>
        <w:rPr>
          <w:rFonts w:ascii="楷体_GB2312" w:eastAsia="楷体_GB2312" w:hint="eastAsia"/>
          <w:sz w:val="52"/>
          <w:szCs w:val="52"/>
        </w:rPr>
        <w:t>XX</w:t>
      </w:r>
      <w:r>
        <w:rPr>
          <w:rFonts w:ascii="楷体_GB2312" w:eastAsia="楷体_GB2312" w:hint="eastAsia"/>
          <w:sz w:val="52"/>
          <w:szCs w:val="52"/>
        </w:rPr>
        <w:t>公司参与</w:t>
      </w:r>
      <w:r>
        <w:rPr>
          <w:rFonts w:ascii="楷体_GB2312" w:eastAsia="楷体_GB2312" w:hint="eastAsia"/>
          <w:sz w:val="52"/>
          <w:szCs w:val="52"/>
        </w:rPr>
        <w:t>期权</w:t>
      </w:r>
      <w:r>
        <w:rPr>
          <w:rFonts w:ascii="楷体_GB2312" w:eastAsia="楷体_GB2312" w:hint="eastAsia"/>
          <w:sz w:val="52"/>
          <w:szCs w:val="52"/>
        </w:rPr>
        <w:t>交易的内部控制、风险管理等相关制度</w:t>
      </w:r>
    </w:p>
    <w:p w:rsidR="00000000" w:rsidRDefault="00886744">
      <w:pPr>
        <w:jc w:val="center"/>
        <w:rPr>
          <w:rFonts w:ascii="楷体_GB2312" w:eastAsia="楷体_GB2312" w:hint="eastAsia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 xml:space="preserve"> </w:t>
      </w:r>
      <w:r>
        <w:rPr>
          <w:rFonts w:ascii="楷体_GB2312" w:eastAsia="楷体_GB2312" w:hint="eastAsia"/>
          <w:b/>
          <w:sz w:val="32"/>
          <w:szCs w:val="32"/>
        </w:rPr>
        <w:t>一</w:t>
      </w:r>
      <w:r>
        <w:rPr>
          <w:rFonts w:ascii="楷体_GB2312" w:eastAsia="楷体_GB2312" w:hint="eastAsia"/>
          <w:b/>
          <w:sz w:val="32"/>
          <w:szCs w:val="32"/>
        </w:rPr>
        <w:t xml:space="preserve">  </w:t>
      </w:r>
      <w:r>
        <w:rPr>
          <w:rFonts w:ascii="楷体_GB2312" w:eastAsia="楷体_GB2312" w:hint="eastAsia"/>
          <w:b/>
          <w:sz w:val="32"/>
          <w:szCs w:val="32"/>
        </w:rPr>
        <w:t>总则</w:t>
      </w:r>
    </w:p>
    <w:p w:rsidR="00000000" w:rsidRDefault="00886744">
      <w:pPr>
        <w:ind w:firstLineChars="200" w:firstLine="560"/>
        <w:rPr>
          <w:rFonts w:ascii="楷体_GB2312" w:eastAsia="楷体_GB2312" w:hint="eastAsia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第一条</w:t>
      </w:r>
      <w:r>
        <w:rPr>
          <w:rFonts w:ascii="楷体_GB2312" w:eastAsia="楷体_GB2312" w:hint="eastAsia"/>
          <w:sz w:val="28"/>
          <w:szCs w:val="28"/>
        </w:rPr>
        <w:t xml:space="preserve"> </w:t>
      </w:r>
      <w:r>
        <w:rPr>
          <w:rFonts w:ascii="楷体_GB2312" w:eastAsia="楷体_GB2312" w:hint="eastAsia"/>
          <w:sz w:val="28"/>
          <w:szCs w:val="28"/>
        </w:rPr>
        <w:t>为有效地利用</w:t>
      </w:r>
      <w:r>
        <w:rPr>
          <w:rFonts w:ascii="楷体_GB2312" w:eastAsia="楷体_GB2312" w:hint="eastAsia"/>
          <w:sz w:val="28"/>
          <w:szCs w:val="28"/>
        </w:rPr>
        <w:t>期权</w:t>
      </w:r>
      <w:r>
        <w:rPr>
          <w:rFonts w:ascii="楷体_GB2312" w:eastAsia="楷体_GB2312" w:hint="eastAsia"/>
          <w:sz w:val="28"/>
          <w:szCs w:val="28"/>
        </w:rPr>
        <w:t>来管理公司的经营风险，公司拟开展</w:t>
      </w:r>
      <w:r>
        <w:rPr>
          <w:rFonts w:ascii="楷体_GB2312" w:eastAsia="楷体_GB2312" w:hint="eastAsia"/>
          <w:sz w:val="28"/>
          <w:szCs w:val="28"/>
        </w:rPr>
        <w:t>期权</w:t>
      </w:r>
      <w:r>
        <w:rPr>
          <w:rFonts w:ascii="楷体_GB2312" w:eastAsia="楷体_GB2312" w:hint="eastAsia"/>
          <w:sz w:val="28"/>
          <w:szCs w:val="28"/>
        </w:rPr>
        <w:t>投资业务，为规范</w:t>
      </w:r>
      <w:r>
        <w:rPr>
          <w:rFonts w:ascii="楷体_GB2312" w:eastAsia="楷体_GB2312" w:hint="eastAsia"/>
          <w:sz w:val="28"/>
          <w:szCs w:val="28"/>
        </w:rPr>
        <w:t>期权</w:t>
      </w:r>
      <w:r>
        <w:rPr>
          <w:rFonts w:ascii="楷体_GB2312" w:eastAsia="楷体_GB2312" w:hint="eastAsia"/>
          <w:sz w:val="28"/>
          <w:szCs w:val="28"/>
        </w:rPr>
        <w:t>交易，防止风险，特制定本指引，请各相关部门遵照执行。</w:t>
      </w:r>
    </w:p>
    <w:p w:rsidR="00000000" w:rsidRDefault="00886744">
      <w:pPr>
        <w:ind w:firstLineChars="200" w:firstLine="560"/>
        <w:rPr>
          <w:rFonts w:ascii="楷体_GB2312" w:eastAsia="楷体_GB2312" w:hint="eastAsia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第二条</w:t>
      </w:r>
      <w:r>
        <w:rPr>
          <w:rFonts w:ascii="楷体_GB2312" w:eastAsia="楷体_GB2312" w:hint="eastAsia"/>
          <w:sz w:val="28"/>
          <w:szCs w:val="28"/>
        </w:rPr>
        <w:t xml:space="preserve"> </w:t>
      </w:r>
      <w:r>
        <w:rPr>
          <w:rFonts w:ascii="楷体_GB2312" w:eastAsia="楷体_GB2312" w:hint="eastAsia"/>
          <w:sz w:val="28"/>
          <w:szCs w:val="28"/>
        </w:rPr>
        <w:t>公司参与</w:t>
      </w:r>
      <w:r>
        <w:rPr>
          <w:rFonts w:ascii="楷体_GB2312" w:eastAsia="楷体_GB2312" w:hint="eastAsia"/>
          <w:sz w:val="28"/>
          <w:szCs w:val="28"/>
        </w:rPr>
        <w:t>期权</w:t>
      </w:r>
      <w:r>
        <w:rPr>
          <w:rFonts w:ascii="楷体_GB2312" w:eastAsia="楷体_GB2312" w:hint="eastAsia"/>
          <w:sz w:val="28"/>
          <w:szCs w:val="28"/>
        </w:rPr>
        <w:t>的目的是为了管理市场经营中的风险（通过寻求市场低风险的投资机会）改善企业经营，本着谨慎、规范的原则进行</w:t>
      </w:r>
      <w:r>
        <w:rPr>
          <w:rFonts w:ascii="楷体_GB2312" w:eastAsia="楷体_GB2312" w:hint="eastAsia"/>
          <w:sz w:val="28"/>
          <w:szCs w:val="28"/>
        </w:rPr>
        <w:t>期权</w:t>
      </w:r>
      <w:r>
        <w:rPr>
          <w:rFonts w:ascii="楷体_GB2312" w:eastAsia="楷体_GB2312" w:hint="eastAsia"/>
          <w:sz w:val="28"/>
          <w:szCs w:val="28"/>
        </w:rPr>
        <w:t>交易。</w:t>
      </w:r>
    </w:p>
    <w:p w:rsidR="00000000" w:rsidRDefault="00886744">
      <w:pPr>
        <w:jc w:val="center"/>
        <w:rPr>
          <w:rFonts w:ascii="楷体_GB2312" w:eastAsia="楷体_GB2312" w:hint="eastAsia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二</w:t>
      </w:r>
      <w:r>
        <w:rPr>
          <w:rFonts w:ascii="楷体_GB2312" w:eastAsia="楷体_GB2312" w:hint="eastAsia"/>
          <w:b/>
          <w:sz w:val="32"/>
          <w:szCs w:val="32"/>
        </w:rPr>
        <w:t xml:space="preserve"> </w:t>
      </w:r>
      <w:r>
        <w:rPr>
          <w:rFonts w:ascii="楷体_GB2312" w:eastAsia="楷体_GB2312" w:hint="eastAsia"/>
          <w:b/>
          <w:sz w:val="32"/>
          <w:szCs w:val="32"/>
        </w:rPr>
        <w:t>业务机构的设置及职责</w:t>
      </w:r>
    </w:p>
    <w:p w:rsidR="00000000" w:rsidRDefault="00886744">
      <w:pPr>
        <w:ind w:firstLine="555"/>
        <w:rPr>
          <w:rFonts w:ascii="楷体_GB2312" w:eastAsia="楷体_GB2312" w:hint="eastAsia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根据国家相关法律法规、制度的规定，结合本公司的实际情况，为顺利开展</w:t>
      </w:r>
      <w:r>
        <w:rPr>
          <w:rFonts w:ascii="楷体_GB2312" w:eastAsia="楷体_GB2312" w:hint="eastAsia"/>
          <w:sz w:val="28"/>
          <w:szCs w:val="28"/>
        </w:rPr>
        <w:t>期权</w:t>
      </w:r>
      <w:r>
        <w:rPr>
          <w:rFonts w:ascii="楷体_GB2312" w:eastAsia="楷体_GB2312" w:hint="eastAsia"/>
          <w:sz w:val="28"/>
          <w:szCs w:val="28"/>
        </w:rPr>
        <w:t>投资业务，控制相关风险，需增设以下机构和部门。</w:t>
      </w:r>
    </w:p>
    <w:p w:rsidR="00000000" w:rsidRDefault="00886744">
      <w:pPr>
        <w:ind w:firstLine="555"/>
        <w:rPr>
          <w:rFonts w:ascii="楷体_GB2312" w:eastAsia="楷体_GB2312" w:hint="eastAsia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第三条</w:t>
      </w:r>
      <w:r>
        <w:rPr>
          <w:rFonts w:ascii="楷体_GB2312" w:eastAsia="楷体_GB2312" w:hint="eastAsia"/>
          <w:sz w:val="28"/>
          <w:szCs w:val="28"/>
        </w:rPr>
        <w:t xml:space="preserve"> </w:t>
      </w:r>
      <w:r>
        <w:rPr>
          <w:rFonts w:ascii="楷体_GB2312" w:eastAsia="楷体_GB2312" w:hint="eastAsia"/>
          <w:sz w:val="28"/>
          <w:szCs w:val="28"/>
        </w:rPr>
        <w:t>在公司董事会增设</w:t>
      </w:r>
      <w:r>
        <w:rPr>
          <w:rFonts w:ascii="楷体_GB2312" w:eastAsia="楷体_GB2312" w:hint="eastAsia"/>
          <w:sz w:val="28"/>
          <w:szCs w:val="28"/>
        </w:rPr>
        <w:t>期权</w:t>
      </w:r>
      <w:r>
        <w:rPr>
          <w:rFonts w:ascii="楷体_GB2312" w:eastAsia="楷体_GB2312" w:hint="eastAsia"/>
          <w:sz w:val="28"/>
          <w:szCs w:val="28"/>
        </w:rPr>
        <w:t>管理委</w:t>
      </w:r>
      <w:r>
        <w:rPr>
          <w:rFonts w:ascii="楷体_GB2312" w:eastAsia="楷体_GB2312" w:hint="eastAsia"/>
          <w:sz w:val="28"/>
          <w:szCs w:val="28"/>
        </w:rPr>
        <w:t>员会，由公司董事、监事及股东代表组成，委员会主任由董事长兼任，负责对公司从事</w:t>
      </w:r>
      <w:r>
        <w:rPr>
          <w:rFonts w:ascii="楷体_GB2312" w:eastAsia="楷体_GB2312" w:hint="eastAsia"/>
          <w:sz w:val="28"/>
          <w:szCs w:val="28"/>
        </w:rPr>
        <w:t>期权</w:t>
      </w:r>
      <w:r>
        <w:rPr>
          <w:rFonts w:ascii="楷体_GB2312" w:eastAsia="楷体_GB2312" w:hint="eastAsia"/>
          <w:sz w:val="28"/>
          <w:szCs w:val="28"/>
        </w:rPr>
        <w:t>投资业务进行监督管理。</w:t>
      </w:r>
    </w:p>
    <w:p w:rsidR="00000000" w:rsidRDefault="00886744">
      <w:pPr>
        <w:ind w:firstLine="555"/>
        <w:rPr>
          <w:rFonts w:ascii="楷体_GB2312" w:eastAsia="楷体_GB2312" w:hint="eastAsia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第四条</w:t>
      </w:r>
      <w:r>
        <w:rPr>
          <w:rFonts w:ascii="楷体_GB2312" w:eastAsia="楷体_GB2312" w:hint="eastAsia"/>
          <w:sz w:val="28"/>
          <w:szCs w:val="28"/>
        </w:rPr>
        <w:t xml:space="preserve"> </w:t>
      </w:r>
      <w:r>
        <w:rPr>
          <w:rFonts w:ascii="楷体_GB2312" w:eastAsia="楷体_GB2312" w:hint="eastAsia"/>
          <w:sz w:val="28"/>
          <w:szCs w:val="28"/>
        </w:rPr>
        <w:t>在公司内新增设立</w:t>
      </w:r>
      <w:r>
        <w:rPr>
          <w:rFonts w:ascii="楷体_GB2312" w:eastAsia="楷体_GB2312" w:hint="eastAsia"/>
          <w:sz w:val="28"/>
          <w:szCs w:val="28"/>
        </w:rPr>
        <w:t>期权</w:t>
      </w:r>
      <w:r>
        <w:rPr>
          <w:rFonts w:ascii="楷体_GB2312" w:eastAsia="楷体_GB2312" w:hint="eastAsia"/>
          <w:sz w:val="28"/>
          <w:szCs w:val="28"/>
        </w:rPr>
        <w:t>业务部，部门领导经</w:t>
      </w:r>
      <w:r>
        <w:rPr>
          <w:rFonts w:ascii="楷体_GB2312" w:eastAsia="楷体_GB2312" w:hint="eastAsia"/>
          <w:sz w:val="28"/>
          <w:szCs w:val="28"/>
        </w:rPr>
        <w:t>期权</w:t>
      </w:r>
      <w:r>
        <w:rPr>
          <w:rFonts w:ascii="楷体_GB2312" w:eastAsia="楷体_GB2312" w:hint="eastAsia"/>
          <w:sz w:val="28"/>
          <w:szCs w:val="28"/>
        </w:rPr>
        <w:t>管理委员会批准后任命，主要负责投资机划和投资目标的制定，负责投资行为的执行，每季度向</w:t>
      </w:r>
      <w:r>
        <w:rPr>
          <w:rFonts w:ascii="楷体_GB2312" w:eastAsia="楷体_GB2312" w:hint="eastAsia"/>
          <w:sz w:val="28"/>
          <w:szCs w:val="28"/>
        </w:rPr>
        <w:t>期权</w:t>
      </w:r>
      <w:r>
        <w:rPr>
          <w:rFonts w:ascii="楷体_GB2312" w:eastAsia="楷体_GB2312" w:hint="eastAsia"/>
          <w:sz w:val="28"/>
          <w:szCs w:val="28"/>
        </w:rPr>
        <w:t>管理委员会提交</w:t>
      </w:r>
      <w:r>
        <w:rPr>
          <w:rFonts w:ascii="楷体_GB2312" w:eastAsia="楷体_GB2312" w:hint="eastAsia"/>
          <w:sz w:val="28"/>
          <w:szCs w:val="28"/>
        </w:rPr>
        <w:t>期权</w:t>
      </w:r>
      <w:r>
        <w:rPr>
          <w:rFonts w:ascii="楷体_GB2312" w:eastAsia="楷体_GB2312" w:hint="eastAsia"/>
          <w:sz w:val="28"/>
          <w:szCs w:val="28"/>
        </w:rPr>
        <w:t>投资业务报告。</w:t>
      </w:r>
    </w:p>
    <w:p w:rsidR="00000000" w:rsidRDefault="00886744">
      <w:pPr>
        <w:ind w:firstLine="555"/>
        <w:rPr>
          <w:rFonts w:ascii="楷体_GB2312" w:eastAsia="楷体_GB2312" w:hint="eastAsia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第五条</w:t>
      </w:r>
      <w:r>
        <w:rPr>
          <w:rFonts w:ascii="楷体_GB2312" w:eastAsia="楷体_GB2312" w:hint="eastAsia"/>
          <w:sz w:val="28"/>
          <w:szCs w:val="28"/>
        </w:rPr>
        <w:t xml:space="preserve"> </w:t>
      </w:r>
      <w:r>
        <w:rPr>
          <w:rFonts w:ascii="楷体_GB2312" w:eastAsia="楷体_GB2312" w:hint="eastAsia"/>
          <w:sz w:val="28"/>
          <w:szCs w:val="28"/>
        </w:rPr>
        <w:t>公司总部新增设立合规经理，由公司</w:t>
      </w:r>
      <w:r>
        <w:rPr>
          <w:rFonts w:ascii="楷体_GB2312" w:eastAsia="楷体_GB2312" w:hint="eastAsia"/>
          <w:sz w:val="28"/>
          <w:szCs w:val="28"/>
        </w:rPr>
        <w:t>期权</w:t>
      </w:r>
      <w:r>
        <w:rPr>
          <w:rFonts w:ascii="楷体_GB2312" w:eastAsia="楷体_GB2312" w:hint="eastAsia"/>
          <w:sz w:val="28"/>
          <w:szCs w:val="28"/>
        </w:rPr>
        <w:t>管理委员会批准后任命，负责</w:t>
      </w:r>
      <w:r>
        <w:rPr>
          <w:rFonts w:ascii="楷体_GB2312" w:eastAsia="楷体_GB2312" w:hint="eastAsia"/>
          <w:sz w:val="28"/>
          <w:szCs w:val="28"/>
        </w:rPr>
        <w:t>期权</w:t>
      </w:r>
      <w:r>
        <w:rPr>
          <w:rFonts w:ascii="楷体_GB2312" w:eastAsia="楷体_GB2312" w:hint="eastAsia"/>
          <w:sz w:val="28"/>
          <w:szCs w:val="28"/>
        </w:rPr>
        <w:t>投资业务的日常风险控制和监督工作，定期或不定期对</w:t>
      </w:r>
      <w:r>
        <w:rPr>
          <w:rFonts w:ascii="楷体_GB2312" w:eastAsia="楷体_GB2312" w:hint="eastAsia"/>
          <w:sz w:val="28"/>
          <w:szCs w:val="28"/>
        </w:rPr>
        <w:t>期权</w:t>
      </w:r>
      <w:r>
        <w:rPr>
          <w:rFonts w:ascii="楷体_GB2312" w:eastAsia="楷体_GB2312" w:hint="eastAsia"/>
          <w:sz w:val="28"/>
          <w:szCs w:val="28"/>
        </w:rPr>
        <w:t>业务进行检查，每季末向</w:t>
      </w:r>
      <w:r>
        <w:rPr>
          <w:rFonts w:ascii="楷体_GB2312" w:eastAsia="楷体_GB2312" w:hint="eastAsia"/>
          <w:sz w:val="28"/>
          <w:szCs w:val="28"/>
        </w:rPr>
        <w:t>期权</w:t>
      </w:r>
      <w:r>
        <w:rPr>
          <w:rFonts w:ascii="楷体_GB2312" w:eastAsia="楷体_GB2312" w:hint="eastAsia"/>
          <w:sz w:val="28"/>
          <w:szCs w:val="28"/>
        </w:rPr>
        <w:t>管理委员会提交检查报告。</w:t>
      </w:r>
    </w:p>
    <w:p w:rsidR="00000000" w:rsidRDefault="00886744">
      <w:pPr>
        <w:jc w:val="center"/>
        <w:rPr>
          <w:rFonts w:ascii="楷体_GB2312" w:eastAsia="楷体_GB2312" w:hint="eastAsia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lastRenderedPageBreak/>
        <w:t>三</w:t>
      </w:r>
      <w:r>
        <w:rPr>
          <w:rFonts w:ascii="楷体_GB2312" w:eastAsia="楷体_GB2312" w:hint="eastAsia"/>
          <w:b/>
          <w:sz w:val="32"/>
          <w:szCs w:val="32"/>
        </w:rPr>
        <w:t xml:space="preserve"> </w:t>
      </w:r>
      <w:r>
        <w:rPr>
          <w:rFonts w:ascii="楷体_GB2312" w:eastAsia="楷体_GB2312" w:hint="eastAsia"/>
          <w:b/>
          <w:sz w:val="32"/>
          <w:szCs w:val="32"/>
        </w:rPr>
        <w:t>操作计划的制定和业务流程</w:t>
      </w:r>
    </w:p>
    <w:p w:rsidR="00000000" w:rsidRDefault="00886744">
      <w:pPr>
        <w:ind w:firstLine="630"/>
        <w:rPr>
          <w:rFonts w:ascii="楷体_GB2312" w:eastAsia="楷体_GB2312" w:hint="eastAsia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第六条</w:t>
      </w:r>
      <w:r>
        <w:rPr>
          <w:rFonts w:ascii="楷体_GB2312" w:eastAsia="楷体_GB2312" w:hint="eastAsia"/>
          <w:sz w:val="28"/>
          <w:szCs w:val="28"/>
        </w:rPr>
        <w:t xml:space="preserve"> </w:t>
      </w:r>
      <w:r>
        <w:rPr>
          <w:rFonts w:ascii="楷体_GB2312" w:eastAsia="楷体_GB2312" w:hint="eastAsia"/>
          <w:sz w:val="28"/>
          <w:szCs w:val="28"/>
        </w:rPr>
        <w:t>公司</w:t>
      </w:r>
      <w:r>
        <w:rPr>
          <w:rFonts w:ascii="楷体_GB2312" w:eastAsia="楷体_GB2312" w:hint="eastAsia"/>
          <w:sz w:val="28"/>
          <w:szCs w:val="28"/>
        </w:rPr>
        <w:t>期权</w:t>
      </w:r>
      <w:r>
        <w:rPr>
          <w:rFonts w:ascii="楷体_GB2312" w:eastAsia="楷体_GB2312" w:hint="eastAsia"/>
          <w:sz w:val="28"/>
          <w:szCs w:val="28"/>
        </w:rPr>
        <w:t>管理委员会根</w:t>
      </w:r>
      <w:r>
        <w:rPr>
          <w:rFonts w:ascii="楷体_GB2312" w:eastAsia="楷体_GB2312" w:hint="eastAsia"/>
          <w:sz w:val="28"/>
          <w:szCs w:val="28"/>
        </w:rPr>
        <w:t>据公司整体的经营目标，确定公司</w:t>
      </w:r>
      <w:r>
        <w:rPr>
          <w:rFonts w:ascii="楷体_GB2312" w:eastAsia="楷体_GB2312" w:hint="eastAsia"/>
          <w:sz w:val="28"/>
          <w:szCs w:val="28"/>
        </w:rPr>
        <w:t>期权</w:t>
      </w:r>
      <w:r>
        <w:rPr>
          <w:rFonts w:ascii="楷体_GB2312" w:eastAsia="楷体_GB2312" w:hint="eastAsia"/>
          <w:sz w:val="28"/>
          <w:szCs w:val="28"/>
        </w:rPr>
        <w:t>投资的总体目标，并根据总体目标制定季度的投资目标。</w:t>
      </w:r>
    </w:p>
    <w:p w:rsidR="00000000" w:rsidRDefault="00886744">
      <w:pPr>
        <w:ind w:firstLine="630"/>
        <w:rPr>
          <w:rFonts w:ascii="楷体_GB2312" w:eastAsia="楷体_GB2312" w:hint="eastAsia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第七条</w:t>
      </w:r>
      <w:r>
        <w:rPr>
          <w:rFonts w:ascii="楷体_GB2312" w:eastAsia="楷体_GB2312" w:hint="eastAsia"/>
          <w:sz w:val="28"/>
          <w:szCs w:val="28"/>
        </w:rPr>
        <w:t xml:space="preserve"> </w:t>
      </w:r>
      <w:r>
        <w:rPr>
          <w:rFonts w:ascii="楷体_GB2312" w:eastAsia="楷体_GB2312" w:hint="eastAsia"/>
          <w:sz w:val="28"/>
          <w:szCs w:val="28"/>
        </w:rPr>
        <w:t>期权</w:t>
      </w:r>
      <w:r>
        <w:rPr>
          <w:rFonts w:ascii="楷体_GB2312" w:eastAsia="楷体_GB2312" w:hint="eastAsia"/>
          <w:sz w:val="28"/>
          <w:szCs w:val="28"/>
        </w:rPr>
        <w:t>业务部根据公司</w:t>
      </w:r>
      <w:r>
        <w:rPr>
          <w:rFonts w:ascii="楷体_GB2312" w:eastAsia="楷体_GB2312" w:hint="eastAsia"/>
          <w:sz w:val="28"/>
          <w:szCs w:val="28"/>
        </w:rPr>
        <w:t>期权</w:t>
      </w:r>
      <w:r>
        <w:rPr>
          <w:rFonts w:ascii="楷体_GB2312" w:eastAsia="楷体_GB2312" w:hint="eastAsia"/>
          <w:sz w:val="28"/>
          <w:szCs w:val="28"/>
        </w:rPr>
        <w:t>管理委员会的季度投资目标，结合市场现实情况，制定具体的实施计划，计划应列明以下事项：</w:t>
      </w:r>
    </w:p>
    <w:p w:rsidR="00000000" w:rsidRDefault="00886744">
      <w:pPr>
        <w:numPr>
          <w:ilvl w:val="0"/>
          <w:numId w:val="1"/>
        </w:numPr>
        <w:rPr>
          <w:rFonts w:ascii="楷体_GB2312" w:eastAsia="楷体_GB2312" w:hint="eastAsia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拟参与</w:t>
      </w:r>
      <w:r>
        <w:rPr>
          <w:rFonts w:ascii="楷体_GB2312" w:eastAsia="楷体_GB2312" w:hint="eastAsia"/>
          <w:sz w:val="28"/>
          <w:szCs w:val="28"/>
        </w:rPr>
        <w:t>期权</w:t>
      </w:r>
      <w:r>
        <w:rPr>
          <w:rFonts w:ascii="楷体_GB2312" w:eastAsia="楷体_GB2312" w:hint="eastAsia"/>
          <w:sz w:val="28"/>
          <w:szCs w:val="28"/>
        </w:rPr>
        <w:t>交易</w:t>
      </w:r>
      <w:r>
        <w:rPr>
          <w:rFonts w:ascii="楷体_GB2312" w:eastAsia="楷体_GB2312" w:hint="eastAsia"/>
          <w:sz w:val="28"/>
          <w:szCs w:val="28"/>
        </w:rPr>
        <w:t>的数量、时间分布、计划成本价格等。</w:t>
      </w:r>
    </w:p>
    <w:p w:rsidR="00000000" w:rsidRDefault="00886744">
      <w:pPr>
        <w:numPr>
          <w:ilvl w:val="0"/>
          <w:numId w:val="1"/>
        </w:numPr>
        <w:rPr>
          <w:rFonts w:ascii="楷体_GB2312" w:eastAsia="楷体_GB2312" w:hint="eastAsia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预计需要的保证金余额以及可能需要追加的保证金数量。</w:t>
      </w:r>
    </w:p>
    <w:p w:rsidR="00000000" w:rsidRDefault="00886744">
      <w:pPr>
        <w:numPr>
          <w:ilvl w:val="0"/>
          <w:numId w:val="1"/>
        </w:numPr>
        <w:rPr>
          <w:rFonts w:ascii="楷体_GB2312" w:eastAsia="楷体_GB2312" w:hint="eastAsia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预计实现的利润目标以及风险控制的手段。</w:t>
      </w:r>
    </w:p>
    <w:p w:rsidR="00000000" w:rsidRDefault="00886744">
      <w:pPr>
        <w:ind w:left="630"/>
        <w:rPr>
          <w:rFonts w:ascii="楷体_GB2312" w:eastAsia="楷体_GB2312" w:hint="eastAsia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第八条</w:t>
      </w:r>
      <w:r>
        <w:rPr>
          <w:rFonts w:ascii="楷体_GB2312" w:eastAsia="楷体_GB2312" w:hint="eastAsia"/>
          <w:sz w:val="28"/>
          <w:szCs w:val="28"/>
        </w:rPr>
        <w:t xml:space="preserve"> </w:t>
      </w:r>
      <w:r>
        <w:rPr>
          <w:rFonts w:ascii="楷体_GB2312" w:eastAsia="楷体_GB2312" w:hint="eastAsia"/>
          <w:sz w:val="28"/>
          <w:szCs w:val="28"/>
        </w:rPr>
        <w:t>期权</w:t>
      </w:r>
      <w:r>
        <w:rPr>
          <w:rFonts w:ascii="楷体_GB2312" w:eastAsia="楷体_GB2312" w:hint="eastAsia"/>
          <w:sz w:val="28"/>
          <w:szCs w:val="28"/>
        </w:rPr>
        <w:t>业务部负责在已经批准的操作计划内的</w:t>
      </w:r>
      <w:r>
        <w:rPr>
          <w:rFonts w:ascii="楷体_GB2312" w:eastAsia="楷体_GB2312" w:hint="eastAsia"/>
          <w:sz w:val="28"/>
          <w:szCs w:val="28"/>
        </w:rPr>
        <w:t>期权</w:t>
      </w:r>
      <w:r>
        <w:rPr>
          <w:rFonts w:ascii="楷体_GB2312" w:eastAsia="楷体_GB2312" w:hint="eastAsia"/>
          <w:sz w:val="28"/>
          <w:szCs w:val="28"/>
        </w:rPr>
        <w:t>交易</w:t>
      </w:r>
    </w:p>
    <w:p w:rsidR="00000000" w:rsidRDefault="00886744">
      <w:pPr>
        <w:rPr>
          <w:rFonts w:ascii="楷体_GB2312" w:eastAsia="楷体_GB2312" w:hint="eastAsia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的具体实施。</w:t>
      </w:r>
    </w:p>
    <w:p w:rsidR="00000000" w:rsidRDefault="00886744">
      <w:pPr>
        <w:numPr>
          <w:ilvl w:val="0"/>
          <w:numId w:val="2"/>
        </w:numPr>
        <w:rPr>
          <w:rFonts w:ascii="楷体_GB2312" w:eastAsia="楷体_GB2312" w:hint="eastAsia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期权</w:t>
      </w:r>
      <w:r>
        <w:rPr>
          <w:rFonts w:ascii="楷体_GB2312" w:eastAsia="楷体_GB2312" w:hint="eastAsia"/>
          <w:sz w:val="28"/>
          <w:szCs w:val="28"/>
        </w:rPr>
        <w:t>业务部经理负责在已经批准的操作计划内向交易人员下达交易指令；</w:t>
      </w:r>
    </w:p>
    <w:p w:rsidR="00000000" w:rsidRDefault="00886744">
      <w:pPr>
        <w:numPr>
          <w:ilvl w:val="0"/>
          <w:numId w:val="2"/>
        </w:numPr>
        <w:rPr>
          <w:rFonts w:ascii="楷体_GB2312" w:eastAsia="楷体_GB2312" w:hint="eastAsia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交易人员应检查指令是否符合具体的</w:t>
      </w:r>
      <w:r>
        <w:rPr>
          <w:rFonts w:ascii="楷体_GB2312" w:eastAsia="楷体_GB2312" w:hint="eastAsia"/>
          <w:sz w:val="28"/>
          <w:szCs w:val="28"/>
        </w:rPr>
        <w:t>操作计划，若符合则执行，并及时向</w:t>
      </w:r>
      <w:r>
        <w:rPr>
          <w:rFonts w:ascii="楷体_GB2312" w:eastAsia="楷体_GB2312" w:hint="eastAsia"/>
          <w:sz w:val="28"/>
          <w:szCs w:val="28"/>
        </w:rPr>
        <w:t>期权</w:t>
      </w:r>
      <w:r>
        <w:rPr>
          <w:rFonts w:ascii="楷体_GB2312" w:eastAsia="楷体_GB2312" w:hint="eastAsia"/>
          <w:sz w:val="28"/>
          <w:szCs w:val="28"/>
        </w:rPr>
        <w:t>业务部经理恢复指令下达情况。</w:t>
      </w:r>
    </w:p>
    <w:p w:rsidR="00000000" w:rsidRDefault="00886744">
      <w:pPr>
        <w:numPr>
          <w:ilvl w:val="0"/>
          <w:numId w:val="2"/>
        </w:numPr>
        <w:rPr>
          <w:rFonts w:ascii="楷体_GB2312" w:eastAsia="楷体_GB2312" w:hint="eastAsia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成交确认后，交易人员应立即填写交易明细表，包括交易时间、交易价格、交易量等内容，并同时递交给合规经理、财务部。</w:t>
      </w:r>
    </w:p>
    <w:p w:rsidR="00000000" w:rsidRDefault="00886744">
      <w:pPr>
        <w:numPr>
          <w:ilvl w:val="0"/>
          <w:numId w:val="2"/>
        </w:numPr>
        <w:rPr>
          <w:rFonts w:ascii="楷体_GB2312" w:eastAsia="楷体_GB2312" w:hint="eastAsia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合规经理根据交易明细审查交易是否在经审批的操作计划内，交易人员是否有越权及错单行为，发现问题及时汇报，如审核无误，则在交易明显表签字后交给财务人员。</w:t>
      </w:r>
    </w:p>
    <w:p w:rsidR="00000000" w:rsidRDefault="00886744">
      <w:pPr>
        <w:numPr>
          <w:ilvl w:val="0"/>
          <w:numId w:val="2"/>
        </w:numPr>
        <w:rPr>
          <w:rFonts w:ascii="楷体_GB2312" w:eastAsia="楷体_GB2312" w:hint="eastAsia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财务人员应核查交易明</w:t>
      </w:r>
      <w:r>
        <w:rPr>
          <w:rFonts w:ascii="楷体_GB2312" w:eastAsia="楷体_GB2312" w:hint="eastAsia"/>
          <w:sz w:val="28"/>
          <w:szCs w:val="28"/>
        </w:rPr>
        <w:t>细</w:t>
      </w:r>
      <w:r>
        <w:rPr>
          <w:rFonts w:ascii="楷体_GB2312" w:eastAsia="楷体_GB2312" w:hint="eastAsia"/>
          <w:sz w:val="28"/>
          <w:szCs w:val="28"/>
        </w:rPr>
        <w:t>表是否与代理机构发来的成交确认是否一致，核查无误后，财务人员应向代理机构、合规</w:t>
      </w:r>
      <w:r>
        <w:rPr>
          <w:rFonts w:ascii="楷体_GB2312" w:eastAsia="楷体_GB2312" w:hint="eastAsia"/>
          <w:sz w:val="28"/>
          <w:szCs w:val="28"/>
        </w:rPr>
        <w:lastRenderedPageBreak/>
        <w:t>经理和会计核算人员发送经被授权人签字的交易确认，并依据公司财务制度进行相应的资金收付</w:t>
      </w:r>
      <w:r>
        <w:rPr>
          <w:rFonts w:ascii="楷体_GB2312" w:eastAsia="楷体_GB2312" w:hint="eastAsia"/>
          <w:sz w:val="28"/>
          <w:szCs w:val="28"/>
        </w:rPr>
        <w:t>。</w:t>
      </w:r>
    </w:p>
    <w:p w:rsidR="00000000" w:rsidRDefault="00886744">
      <w:pPr>
        <w:rPr>
          <w:rFonts w:ascii="楷体_GB2312" w:eastAsia="楷体_GB2312"/>
          <w:sz w:val="28"/>
          <w:szCs w:val="28"/>
        </w:rPr>
      </w:pPr>
    </w:p>
    <w:p w:rsidR="00000000" w:rsidRDefault="00886744">
      <w:pPr>
        <w:jc w:val="center"/>
        <w:rPr>
          <w:rFonts w:ascii="楷体_GB2312" w:eastAsia="楷体_GB2312" w:hint="eastAsia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四</w:t>
      </w:r>
      <w:r>
        <w:rPr>
          <w:rFonts w:ascii="楷体_GB2312" w:eastAsia="楷体_GB2312" w:hint="eastAsia"/>
          <w:b/>
          <w:sz w:val="32"/>
          <w:szCs w:val="32"/>
        </w:rPr>
        <w:t xml:space="preserve"> </w:t>
      </w:r>
      <w:r>
        <w:rPr>
          <w:rFonts w:ascii="楷体_GB2312" w:eastAsia="楷体_GB2312" w:hint="eastAsia"/>
          <w:b/>
          <w:sz w:val="32"/>
          <w:szCs w:val="32"/>
        </w:rPr>
        <w:t>交易风险控制</w:t>
      </w:r>
    </w:p>
    <w:p w:rsidR="00000000" w:rsidRDefault="00886744">
      <w:pPr>
        <w:rPr>
          <w:rFonts w:ascii="楷体_GB2312" w:eastAsia="楷体_GB2312" w:hint="eastAsia"/>
          <w:sz w:val="28"/>
          <w:szCs w:val="28"/>
        </w:rPr>
      </w:pPr>
      <w:r>
        <w:rPr>
          <w:rFonts w:ascii="楷体_GB2312" w:eastAsia="楷体_GB2312" w:hint="eastAsia"/>
          <w:b/>
          <w:sz w:val="32"/>
          <w:szCs w:val="32"/>
        </w:rPr>
        <w:t xml:space="preserve"> </w:t>
      </w:r>
      <w:r>
        <w:rPr>
          <w:rFonts w:ascii="楷体_GB2312" w:eastAsia="楷体_GB2312" w:hint="eastAsia"/>
          <w:sz w:val="28"/>
          <w:szCs w:val="28"/>
        </w:rPr>
        <w:t xml:space="preserve">   </w:t>
      </w:r>
      <w:r>
        <w:rPr>
          <w:rFonts w:ascii="楷体_GB2312" w:eastAsia="楷体_GB2312" w:hint="eastAsia"/>
          <w:sz w:val="28"/>
          <w:szCs w:val="28"/>
        </w:rPr>
        <w:t>第九条</w:t>
      </w:r>
      <w:r>
        <w:rPr>
          <w:rFonts w:ascii="楷体_GB2312" w:eastAsia="楷体_GB2312" w:hint="eastAsia"/>
          <w:b/>
          <w:sz w:val="32"/>
          <w:szCs w:val="32"/>
        </w:rPr>
        <w:t xml:space="preserve"> </w:t>
      </w:r>
      <w:r>
        <w:rPr>
          <w:rFonts w:ascii="楷体_GB2312" w:eastAsia="楷体_GB2312" w:hint="eastAsia"/>
          <w:sz w:val="28"/>
          <w:szCs w:val="28"/>
        </w:rPr>
        <w:t>合规经理应经常关注交易市场出现的重大不利变动，应及时通知交易部门调整交易方案，必要时强制交易人员采取平仓等手段降低风险。</w:t>
      </w:r>
    </w:p>
    <w:p w:rsidR="00000000" w:rsidRDefault="00886744">
      <w:pPr>
        <w:ind w:firstLineChars="200" w:firstLine="560"/>
        <w:rPr>
          <w:rFonts w:ascii="楷体_GB2312" w:eastAsia="楷体_GB2312" w:hint="eastAsia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第十条</w:t>
      </w:r>
      <w:r>
        <w:rPr>
          <w:rFonts w:ascii="楷体_GB2312" w:eastAsia="楷体_GB2312" w:hint="eastAsia"/>
          <w:sz w:val="28"/>
          <w:szCs w:val="28"/>
        </w:rPr>
        <w:t xml:space="preserve"> </w:t>
      </w:r>
      <w:r>
        <w:rPr>
          <w:rFonts w:ascii="楷体_GB2312" w:eastAsia="楷体_GB2312" w:hint="eastAsia"/>
          <w:sz w:val="28"/>
          <w:szCs w:val="28"/>
        </w:rPr>
        <w:t>合规经理应市场关注交易账户的资金情况，在出现保证金重大损失时要及时协调交易人员和财务人员，提前做好资金上的安排和准备。</w:t>
      </w:r>
    </w:p>
    <w:p w:rsidR="00886744" w:rsidRDefault="00886744">
      <w:pPr>
        <w:ind w:firstLineChars="200" w:firstLine="560"/>
        <w:jc w:val="center"/>
        <w:rPr>
          <w:rFonts w:ascii="楷体_GB2312" w:eastAsia="楷体_GB2312"/>
          <w:sz w:val="28"/>
          <w:szCs w:val="28"/>
        </w:rPr>
      </w:pPr>
    </w:p>
    <w:sectPr w:rsidR="0088674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6744" w:rsidRDefault="00886744" w:rsidP="000D7162">
      <w:r>
        <w:separator/>
      </w:r>
    </w:p>
  </w:endnote>
  <w:endnote w:type="continuationSeparator" w:id="0">
    <w:p w:rsidR="00886744" w:rsidRDefault="00886744" w:rsidP="000D71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6744" w:rsidRDefault="00886744" w:rsidP="000D7162">
      <w:r>
        <w:separator/>
      </w:r>
    </w:p>
  </w:footnote>
  <w:footnote w:type="continuationSeparator" w:id="0">
    <w:p w:rsidR="00886744" w:rsidRDefault="00886744" w:rsidP="000D71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35B3E"/>
    <w:multiLevelType w:val="multilevel"/>
    <w:tmpl w:val="0BD35B3E"/>
    <w:lvl w:ilvl="0">
      <w:start w:val="1"/>
      <w:numFmt w:val="japaneseCounting"/>
      <w:lvlText w:val="%1、"/>
      <w:lvlJc w:val="left"/>
      <w:pPr>
        <w:tabs>
          <w:tab w:val="num" w:pos="1275"/>
        </w:tabs>
        <w:ind w:left="127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1">
    <w:nsid w:val="6CBC31A7"/>
    <w:multiLevelType w:val="multilevel"/>
    <w:tmpl w:val="6CBC31A7"/>
    <w:lvl w:ilvl="0">
      <w:start w:val="1"/>
      <w:numFmt w:val="decimal"/>
      <w:lvlText w:val="%1、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1769"/>
    <w:rsid w:val="000005A5"/>
    <w:rsid w:val="000D7162"/>
    <w:rsid w:val="001C1769"/>
    <w:rsid w:val="00297877"/>
    <w:rsid w:val="0030393A"/>
    <w:rsid w:val="005139B6"/>
    <w:rsid w:val="007C7B9D"/>
    <w:rsid w:val="00886744"/>
    <w:rsid w:val="00C22350"/>
    <w:rsid w:val="00C44395"/>
    <w:rsid w:val="00C62025"/>
    <w:rsid w:val="00D27942"/>
    <w:rsid w:val="00D91A45"/>
    <w:rsid w:val="00DC02BC"/>
    <w:rsid w:val="00F05205"/>
    <w:rsid w:val="1B8922CD"/>
    <w:rsid w:val="223D6D34"/>
    <w:rsid w:val="2BB24FA2"/>
    <w:rsid w:val="42F02191"/>
    <w:rsid w:val="43B600D1"/>
    <w:rsid w:val="4EFF0FD1"/>
    <w:rsid w:val="54B71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basedOn w:val="a0"/>
    <w:link w:val="a3"/>
    <w:rPr>
      <w:color w:val="000000"/>
      <w:kern w:val="2"/>
      <w:sz w:val="18"/>
      <w:szCs w:val="18"/>
    </w:rPr>
  </w:style>
  <w:style w:type="character" w:customStyle="1" w:styleId="Char0">
    <w:name w:val="页眉 Char"/>
    <w:basedOn w:val="a0"/>
    <w:link w:val="a4"/>
    <w:rPr>
      <w:color w:val="000000"/>
      <w:kern w:val="2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174</Words>
  <Characters>996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>xyqh</Company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xyqh</dc:creator>
  <cp:keywords/>
  <dc:description/>
  <cp:lastModifiedBy>陈雪</cp:lastModifiedBy>
  <cp:revision>2</cp:revision>
  <dcterms:created xsi:type="dcterms:W3CDTF">2019-05-21T11:23:00Z</dcterms:created>
  <dcterms:modified xsi:type="dcterms:W3CDTF">2019-05-21T11:23:00Z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