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9C8" w:rsidRPr="00DB5F2E" w:rsidRDefault="005439C8" w:rsidP="005439C8">
      <w:pPr>
        <w:pStyle w:val="a5"/>
        <w:numPr>
          <w:ilvl w:val="0"/>
          <w:numId w:val="1"/>
        </w:numPr>
        <w:ind w:firstLineChars="0"/>
        <w:rPr>
          <w:b/>
          <w:sz w:val="30"/>
          <w:szCs w:val="30"/>
        </w:rPr>
      </w:pPr>
      <w:r>
        <w:t>Memory Card Play</w:t>
      </w:r>
    </w:p>
    <w:p w:rsidR="005439C8" w:rsidRDefault="005439C8" w:rsidP="005439C8">
      <w:pPr>
        <w:rPr>
          <w:sz w:val="28"/>
          <w:szCs w:val="28"/>
        </w:rPr>
      </w:pPr>
      <w:r>
        <w:t>Note: Memory card is the customer purchase option, the default is no memory card sales! If you choose the memory card when you buy it, boot it is the memory card playing, otherwise it is Bluetooth mode. (If you don't have the memory card, pay attention to the method of inserting the card, first open the silica gel cover according to Figure 3, insert the memory card according to the direction of the picture of Figure 3 memory card, insert the memory card back into the soft silica gel, bad air leakage will affect the sound quality.)</w:t>
      </w:r>
    </w:p>
    <w:p w:rsidR="005439C8" w:rsidRDefault="005439C8" w:rsidP="005439C8">
      <w:pPr>
        <w:rPr>
          <w:sz w:val="28"/>
          <w:szCs w:val="28"/>
        </w:rPr>
      </w:pPr>
      <w:r>
        <w:t>When playing, three keys are used to refer to Figure 1. They are Play/pause key, +the last key and the next key.</w:t>
      </w:r>
    </w:p>
    <w:p w:rsidR="005439C8" w:rsidRPr="00860A60" w:rsidRDefault="005439C8" w:rsidP="005439C8">
      <w:pPr>
        <w:pStyle w:val="a5"/>
        <w:numPr>
          <w:ilvl w:val="0"/>
          <w:numId w:val="1"/>
        </w:numPr>
        <w:ind w:firstLineChars="0"/>
        <w:rPr>
          <w:b/>
          <w:sz w:val="28"/>
          <w:szCs w:val="28"/>
        </w:rPr>
      </w:pPr>
      <w:r>
        <w:t>Volume control</w:t>
      </w:r>
    </w:p>
    <w:p w:rsidR="005439C8" w:rsidRDefault="005439C8" w:rsidP="005439C8">
      <w:pPr>
        <w:ind w:firstLineChars="200" w:firstLine="560"/>
        <w:rPr>
          <w:sz w:val="28"/>
          <w:szCs w:val="28"/>
        </w:rPr>
      </w:pPr>
      <w:r>
        <w:t>Lower and lower keys are also volume control keys. A long press on a key is volume increase, and a long press on a key is volume decrease.</w:t>
      </w:r>
    </w:p>
    <w:p w:rsidR="005439C8" w:rsidRPr="00DB5F2E" w:rsidRDefault="005439C8" w:rsidP="005439C8">
      <w:pPr>
        <w:rPr>
          <w:b/>
          <w:sz w:val="30"/>
          <w:szCs w:val="30"/>
        </w:rPr>
      </w:pPr>
      <w:r>
        <w:t>4. Switching of Functional Mode</w:t>
      </w:r>
    </w:p>
    <w:p w:rsidR="005439C8" w:rsidRDefault="005439C8" w:rsidP="005439C8">
      <w:pPr>
        <w:ind w:firstLine="555"/>
        <w:rPr>
          <w:sz w:val="28"/>
          <w:szCs w:val="28"/>
        </w:rPr>
      </w:pPr>
      <w:r>
        <w:t>Reference 1 can switch functions by clicking the boot button. Reference 2 displays the current switched functional status for each switched functional display. There are three functions of the boot button, long press for 3 seconds is the switch, short press is the function switch, double press is to turn on and off the drinking water reminder.</w:t>
      </w:r>
    </w:p>
    <w:p w:rsidR="005439C8" w:rsidRPr="00DB5F2E" w:rsidRDefault="005439C8" w:rsidP="005439C8">
      <w:pPr>
        <w:pStyle w:val="a5"/>
        <w:numPr>
          <w:ilvl w:val="0"/>
          <w:numId w:val="2"/>
        </w:numPr>
        <w:ind w:firstLineChars="0"/>
        <w:rPr>
          <w:b/>
          <w:sz w:val="30"/>
          <w:szCs w:val="30"/>
        </w:rPr>
      </w:pPr>
      <w:r>
        <w:t>Bluetooth function</w:t>
      </w:r>
    </w:p>
    <w:p w:rsidR="005439C8" w:rsidRDefault="005439C8" w:rsidP="005439C8">
      <w:pPr>
        <w:ind w:firstLine="555"/>
        <w:rPr>
          <w:sz w:val="28"/>
          <w:szCs w:val="28"/>
        </w:rPr>
      </w:pPr>
      <w:r>
        <w:t>When the function is switched to Bluetooth mode, open the Bluetooth search of the mobile phone, and a smart water cup point connection will appear. The water cup side will prompt the successful connection. When the connection is successful, all the voices of the mobile phone will be converted to the water cup speaker. If the caller can also pick up the water cup, press the play pause button to answer the call. When speaking, try to listen to the position of the tenth head of Figure 1 so that the caller can hear more clearly, and then press the play pause button to hang up the end of the call. In Bluetooth mode, the music key controls the pause of playing, the selection of up and down tracks, and the volume adjustment. When Bluetooth is not connected for more than 30 minutes, it will shut down automatically.</w:t>
      </w:r>
    </w:p>
    <w:p w:rsidR="005439C8" w:rsidRPr="007732FE" w:rsidRDefault="005439C8" w:rsidP="005439C8">
      <w:pPr>
        <w:pStyle w:val="a5"/>
        <w:numPr>
          <w:ilvl w:val="0"/>
          <w:numId w:val="2"/>
        </w:numPr>
        <w:ind w:firstLineChars="0"/>
        <w:rPr>
          <w:b/>
          <w:sz w:val="28"/>
          <w:szCs w:val="28"/>
        </w:rPr>
      </w:pPr>
      <w:r>
        <w:t>Radio Mode</w:t>
      </w:r>
    </w:p>
    <w:p w:rsidR="005439C8" w:rsidRDefault="005439C8" w:rsidP="005439C8">
      <w:pPr>
        <w:ind w:firstLineChars="200" w:firstLine="560"/>
        <w:rPr>
          <w:sz w:val="28"/>
          <w:szCs w:val="28"/>
        </w:rPr>
      </w:pPr>
      <w:r>
        <w:t>When the function is switched to radio mode, the speaker will appear murmur, which is caused by not searching the radio station. Every local radio station whose frequency is different from that of different cities must search the station again. The search operation is to search the station automatically by holding down the play pause key for 3 seconds, and save it automatically every time a station is searched. (Note: This radio function is that the built-in antenna can not work best because of the limited space inside the cup cover. It is recommended that you plug in the charging wire for antenna. This effect is the best way to search more stations. When using the charging wire for antenna, please do not plug in the charging head power supply). After searching the radio, you can switch different stations by pressing the up and down curvature keys, or by pressing the play pause button. Pause and play.</w:t>
      </w:r>
    </w:p>
    <w:p w:rsidR="005439C8" w:rsidRPr="004C097A" w:rsidRDefault="005439C8" w:rsidP="005439C8">
      <w:pPr>
        <w:pStyle w:val="a5"/>
        <w:numPr>
          <w:ilvl w:val="0"/>
          <w:numId w:val="2"/>
        </w:numPr>
        <w:ind w:firstLineChars="0"/>
        <w:rPr>
          <w:b/>
          <w:sz w:val="30"/>
          <w:szCs w:val="30"/>
        </w:rPr>
      </w:pPr>
      <w:r>
        <w:t>water quality monitoring</w:t>
      </w:r>
    </w:p>
    <w:p w:rsidR="005439C8" w:rsidRPr="007A3EE3" w:rsidRDefault="005439C8" w:rsidP="005439C8">
      <w:pPr>
        <w:ind w:firstLineChars="200" w:firstLine="560"/>
        <w:rPr>
          <w:sz w:val="28"/>
          <w:szCs w:val="28"/>
        </w:rPr>
      </w:pPr>
      <w:r>
        <w:t>When switching to water quality detection, the screen PPM lights up at the same time, the water in the cup body is more water, less water and the water temperature can be detected by tightening the cup cover to prevent leakage. Two metal probes at the bottom of the cup cover can be detected by touching the cup cover with the water in the bottom of the cup. The method is that the eyes lie obliquely against the cup body of the display screen and touch the cup cover. After a short pause, the screen will display the water quality parameters and temperature, referring to the display on screen Under the temperature display is the water quality data, and will voice broadcast water quality. Water quality parameter description: The bigger the water quality data, the worse the water quality. This data is TDS value. If you want to know the TDS value in detail, Baidu can fully understand it. This water quality testing method is the standard of TDS.</w:t>
      </w:r>
    </w:p>
    <w:p w:rsidR="005439C8" w:rsidRPr="00482134" w:rsidRDefault="005439C8" w:rsidP="005439C8">
      <w:pPr>
        <w:rPr>
          <w:b/>
          <w:sz w:val="30"/>
          <w:szCs w:val="30"/>
        </w:rPr>
      </w:pPr>
      <w:r>
        <w:t>8. Time setting (default is 24 hours)</w:t>
      </w:r>
    </w:p>
    <w:p w:rsidR="005439C8" w:rsidRDefault="005439C8" w:rsidP="005439C8">
      <w:pPr>
        <w:rPr>
          <w:sz w:val="28"/>
          <w:szCs w:val="28"/>
        </w:rPr>
      </w:pPr>
      <w:r>
        <w:t>Press the boot button to switch the function to the time setting. Figure 2 sets the time sign to light up, then press the play pause button, when the clock flickers, press the up and down button to adjust the correct clock, then press the play pause button to flicker for minutes. Similarly, press the up and down button to adjust to the right minute and then press the play pause button to confirm.</w:t>
      </w:r>
    </w:p>
    <w:p w:rsidR="005439C8" w:rsidRPr="00482134" w:rsidRDefault="005439C8" w:rsidP="005439C8">
      <w:pPr>
        <w:rPr>
          <w:b/>
          <w:sz w:val="30"/>
          <w:szCs w:val="30"/>
        </w:rPr>
      </w:pPr>
      <w:r>
        <w:t>9. Drinking Water Reminder Settings</w:t>
      </w:r>
    </w:p>
    <w:p w:rsidR="005439C8" w:rsidRPr="00EC546F" w:rsidRDefault="005439C8" w:rsidP="005439C8">
      <w:pPr>
        <w:ind w:firstLineChars="200" w:firstLine="560"/>
        <w:rPr>
          <w:sz w:val="28"/>
          <w:szCs w:val="28"/>
        </w:rPr>
      </w:pPr>
      <w:r>
        <w:t>The system defaults to eight glasses of water a day, and each glass of water reminder time is (7:59/9:00/10:00/11:00/14:00/15:00/16:00/17:00). Double-clicking the boot button is to start the water reminder, and then double-clicking is to close the water reminder. At the same time, the display will start and close the water icon as shown in Figure 2.</w:t>
      </w:r>
    </w:p>
    <w:p w:rsidR="005439C8" w:rsidRDefault="005439C8" w:rsidP="005439C8">
      <w:pPr>
        <w:rPr>
          <w:b/>
          <w:sz w:val="30"/>
          <w:szCs w:val="30"/>
        </w:rPr>
      </w:pPr>
      <w:r>
        <w:t>10. Drug Reminder</w:t>
      </w:r>
    </w:p>
    <w:p w:rsidR="005439C8" w:rsidRDefault="005439C8" w:rsidP="005439C8">
      <w:pPr>
        <w:ind w:firstLineChars="200" w:firstLine="560"/>
        <w:rPr>
          <w:sz w:val="28"/>
          <w:szCs w:val="28"/>
        </w:rPr>
      </w:pPr>
      <w:r>
        <w:t>The system defaults to two modes of medication (morning, mid-night or morning and evening, morning, mid-night and evening are 8:00/13:00/18:00 morning and evening respectively). Double-clicking the playback pause button is to start the medication reminder, and double-clicking is to close the medication reminder. At the same time, the display screen will display and close the medication reminder as shown in Figure 2. When the medication reminder is turned on, the upper and lower curvature keys switch the medication mode.</w:t>
      </w:r>
    </w:p>
    <w:p w:rsidR="005439C8" w:rsidRDefault="005439C8" w:rsidP="005439C8">
      <w:pPr>
        <w:rPr>
          <w:b/>
          <w:sz w:val="30"/>
          <w:szCs w:val="30"/>
        </w:rPr>
      </w:pPr>
      <w:r>
        <w:t>Temperature Display</w:t>
      </w:r>
    </w:p>
    <w:p w:rsidR="005439C8" w:rsidRDefault="005439C8" w:rsidP="005439C8">
      <w:pPr>
        <w:rPr>
          <w:sz w:val="28"/>
          <w:szCs w:val="28"/>
        </w:rPr>
      </w:pPr>
      <w:r>
        <w:t>Temperature is often displayed as long as the start-up will show, no water is to show the surrounding environment temperature, the bottom of the cup cap is equipped with two metal probes, the probe is both the head of water quality detection and temperature monitoring probe. To monitor the water temperature, try to make the water contact the probe operation and water quality detection, the temperature display as shown in Figure 2.</w:t>
      </w:r>
    </w:p>
    <w:p w:rsidR="005439C8" w:rsidRDefault="005439C8" w:rsidP="005439C8">
      <w:pPr>
        <w:rPr>
          <w:sz w:val="28"/>
          <w:szCs w:val="28"/>
        </w:rPr>
      </w:pPr>
      <w:r>
        <w:t>Packaging accessories: A standard Android charging line. A brochure of this product.</w:t>
      </w:r>
    </w:p>
    <w:p w:rsidR="005439C8" w:rsidRDefault="005439C8" w:rsidP="005439C8">
      <w:pPr>
        <w:rPr>
          <w:sz w:val="28"/>
          <w:szCs w:val="28"/>
        </w:rPr>
      </w:pPr>
      <w:r/>
    </w:p>
    <w:p w:rsidR="005439C8" w:rsidRDefault="005439C8" w:rsidP="005439C8">
      <w:pPr>
        <w:rPr>
          <w:sz w:val="28"/>
          <w:szCs w:val="28"/>
        </w:rPr>
      </w:pPr>
      <w:r>
        <w:rPr>
          <w:noProof/>
          <w:sz w:val="28"/>
          <w:szCs w:val="28"/>
        </w:rPr>
        <w:lastRenderedPageBreak/>
        <w:drawing>
          <wp:inline distT="0" distB="0" distL="0" distR="0" wp14:anchorId="43EF08DA" wp14:editId="44337ABF">
            <wp:extent cx="2476846" cy="19814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图片_20190521142238.png"/>
                    <pic:cNvPicPr/>
                  </pic:nvPicPr>
                  <pic:blipFill>
                    <a:blip r:embed="rId7">
                      <a:extLst>
                        <a:ext uri="{28A0092B-C50C-407E-A947-70E740481C1C}">
                          <a14:useLocalDpi xmlns:a14="http://schemas.microsoft.com/office/drawing/2010/main" val="0"/>
                        </a:ext>
                      </a:extLst>
                    </a:blip>
                    <a:stretch>
                      <a:fillRect/>
                    </a:stretch>
                  </pic:blipFill>
                  <pic:spPr>
                    <a:xfrm>
                      <a:off x="0" y="0"/>
                      <a:ext cx="2476846" cy="1981477"/>
                    </a:xfrm>
                    <a:prstGeom prst="rect">
                      <a:avLst/>
                    </a:prstGeom>
                  </pic:spPr>
                </pic:pic>
              </a:graphicData>
            </a:graphic>
          </wp:inline>
        </w:drawing>
      </w:r>
    </w:p>
    <w:p w:rsidR="005439C8" w:rsidRDefault="005439C8" w:rsidP="005439C8">
      <w:pPr>
        <w:rPr>
          <w:sz w:val="28"/>
          <w:szCs w:val="28"/>
        </w:rPr>
      </w:pPr>
      <w:r>
        <w:t>Product warranty card:</w:t>
      </w:r>
    </w:p>
    <w:tbl>
      <w:tblPr>
        <w:tblStyle w:val="a6"/>
        <w:tblW w:w="0" w:type="auto"/>
        <w:tblLook w:val="04A0" w:firstRow="1" w:lastRow="0" w:firstColumn="1" w:lastColumn="0" w:noHBand="0" w:noVBand="1"/>
      </w:tblPr>
      <w:tblGrid>
        <w:gridCol w:w="1555"/>
        <w:gridCol w:w="2625"/>
        <w:gridCol w:w="68"/>
        <w:gridCol w:w="1134"/>
        <w:gridCol w:w="2914"/>
      </w:tblGrid>
      <w:tr w:rsidR="005439C8" w:rsidTr="00FC7D56">
        <w:tc>
          <w:tcPr>
            <w:tcW w:w="1555" w:type="dxa"/>
          </w:tcPr>
          <w:p w:rsidR="005439C8" w:rsidRDefault="005439C8" w:rsidP="00FC7D56">
            <w:r>
              <w:t>Purchase name</w:t>
            </w:r>
          </w:p>
        </w:tc>
        <w:tc>
          <w:tcPr>
            <w:tcW w:w="2625" w:type="dxa"/>
          </w:tcPr>
          <w:p w:rsidR="005439C8" w:rsidRDefault="005439C8" w:rsidP="00FC7D56">
            <w:r/>
          </w:p>
        </w:tc>
        <w:tc>
          <w:tcPr>
            <w:tcW w:w="1202" w:type="dxa"/>
            <w:gridSpan w:val="2"/>
          </w:tcPr>
          <w:p w:rsidR="005439C8" w:rsidRDefault="005439C8" w:rsidP="00FC7D56">
            <w:r/>
          </w:p>
        </w:tc>
        <w:tc>
          <w:tcPr>
            <w:tcW w:w="2914" w:type="dxa"/>
          </w:tcPr>
          <w:p w:rsidR="005439C8" w:rsidRDefault="005439C8" w:rsidP="00FC7D56">
            <w:r>
              <w:t>Customer address</w:t>
            </w:r>
          </w:p>
        </w:tc>
      </w:tr>
      <w:tr w:rsidR="005439C8" w:rsidTr="00FC7D56">
        <w:tc>
          <w:tcPr>
            <w:tcW w:w="1555" w:type="dxa"/>
          </w:tcPr>
          <w:p w:rsidR="005439C8" w:rsidRDefault="005439C8" w:rsidP="00FC7D56">
            <w:r/>
          </w:p>
        </w:tc>
        <w:tc>
          <w:tcPr>
            <w:tcW w:w="6741" w:type="dxa"/>
            <w:gridSpan w:val="4"/>
          </w:tcPr>
          <w:p w:rsidR="005439C8" w:rsidRDefault="005439C8" w:rsidP="00FC7D56">
            <w:r/>
          </w:p>
        </w:tc>
      </w:tr>
      <w:tr w:rsidR="005439C8" w:rsidTr="00FC7D56">
        <w:tc>
          <w:tcPr>
            <w:tcW w:w="1555" w:type="dxa"/>
          </w:tcPr>
          <w:p w:rsidR="005439C8" w:rsidRDefault="005439C8" w:rsidP="00FC7D56">
            <w:r>
              <w:t>Order number</w:t>
            </w:r>
          </w:p>
        </w:tc>
        <w:tc>
          <w:tcPr>
            <w:tcW w:w="2693" w:type="dxa"/>
            <w:gridSpan w:val="2"/>
          </w:tcPr>
          <w:p w:rsidR="005439C8" w:rsidRDefault="005439C8" w:rsidP="00FC7D56">
            <w:r>
              <w:t>Agent</w:t>
            </w:r>
          </w:p>
        </w:tc>
        <w:tc>
          <w:tcPr>
            <w:tcW w:w="1134" w:type="dxa"/>
          </w:tcPr>
          <w:p w:rsidR="005439C8" w:rsidRDefault="005439C8" w:rsidP="00FC7D56">
            <w:r/>
          </w:p>
        </w:tc>
        <w:tc>
          <w:tcPr>
            <w:tcW w:w="2914" w:type="dxa"/>
          </w:tcPr>
          <w:p w:rsidR="005439C8" w:rsidRDefault="005439C8" w:rsidP="00FC7D56">
            <w:r>
              <w:t>Cause of failure</w:t>
            </w:r>
          </w:p>
        </w:tc>
      </w:tr>
      <w:tr w:rsidR="005439C8" w:rsidTr="00FC7D56">
        <w:tc>
          <w:tcPr>
            <w:tcW w:w="1555" w:type="dxa"/>
          </w:tcPr>
          <w:p w:rsidR="005439C8" w:rsidRDefault="005439C8" w:rsidP="00FC7D56">
            <w:r/>
          </w:p>
        </w:tc>
        <w:tc>
          <w:tcPr>
            <w:tcW w:w="6741" w:type="dxa"/>
            <w:gridSpan w:val="4"/>
          </w:tcPr>
          <w:p w:rsidR="005439C8" w:rsidRDefault="005439C8" w:rsidP="00FC7D56">
            <w:r/>
          </w:p>
        </w:tc>
      </w:tr>
      <w:tr w:rsidR="005439C8" w:rsidTr="00FC7D56">
        <w:tc>
          <w:tcPr>
            <w:tcW w:w="1555" w:type="dxa"/>
          </w:tcPr>
          <w:p w:rsidR="005439C8" w:rsidRDefault="005439C8" w:rsidP="00FC7D56">
            <w:r>
              <w:rPr>
                <w:rFonts w:hint="eastAsia"/>
              </w:rPr>
              <w:t>代理商</w:t>
            </w:r>
          </w:p>
        </w:tc>
        <w:tc>
          <w:tcPr>
            <w:tcW w:w="6741" w:type="dxa"/>
            <w:gridSpan w:val="4"/>
          </w:tcPr>
          <w:p w:rsidR="005439C8" w:rsidRDefault="005439C8" w:rsidP="00FC7D56"/>
        </w:tc>
      </w:tr>
      <w:tr w:rsidR="005439C8" w:rsidTr="00FC7D56">
        <w:trPr>
          <w:trHeight w:val="546"/>
        </w:trPr>
        <w:tc>
          <w:tcPr>
            <w:tcW w:w="1555" w:type="dxa"/>
          </w:tcPr>
          <w:p w:rsidR="005439C8" w:rsidRDefault="005439C8" w:rsidP="00FC7D56">
            <w:r>
              <w:rPr>
                <w:rFonts w:hint="eastAsia"/>
              </w:rPr>
              <w:t>故障原因</w:t>
            </w:r>
          </w:p>
        </w:tc>
        <w:tc>
          <w:tcPr>
            <w:tcW w:w="6741" w:type="dxa"/>
            <w:gridSpan w:val="4"/>
          </w:tcPr>
          <w:p w:rsidR="005439C8" w:rsidRDefault="005439C8" w:rsidP="00FC7D56"/>
        </w:tc>
      </w:tr>
    </w:tbl>
    <w:p w:rsidR="005439C8" w:rsidRPr="00F93383" w:rsidRDefault="005439C8" w:rsidP="005439C8"/>
    <w:p w:rsidR="005439C8" w:rsidRPr="00EC546F" w:rsidRDefault="005439C8" w:rsidP="005439C8">
      <w:pPr>
        <w:rPr>
          <w:sz w:val="28"/>
          <w:szCs w:val="28"/>
        </w:rPr>
      </w:pPr>
    </w:p>
    <w:p w:rsidR="00874898" w:rsidRDefault="00874898">
      <w:bookmarkStart w:id="0" w:name="_GoBack"/>
      <w:bookmarkEnd w:id="0"/>
    </w:p>
    <w:sectPr w:rsidR="008748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DF2" w:rsidRDefault="000B5DF2" w:rsidP="005439C8">
      <w:r>
        <w:separator/>
      </w:r>
    </w:p>
  </w:endnote>
  <w:endnote w:type="continuationSeparator" w:id="0">
    <w:p w:rsidR="000B5DF2" w:rsidRDefault="000B5DF2" w:rsidP="00543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DF2" w:rsidRDefault="000B5DF2" w:rsidP="005439C8">
      <w:r>
        <w:separator/>
      </w:r>
    </w:p>
  </w:footnote>
  <w:footnote w:type="continuationSeparator" w:id="0">
    <w:p w:rsidR="000B5DF2" w:rsidRDefault="000B5DF2" w:rsidP="005439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6418E"/>
    <w:multiLevelType w:val="hybridMultilevel"/>
    <w:tmpl w:val="2256AD68"/>
    <w:lvl w:ilvl="0" w:tplc="ECB6906C">
      <w:start w:val="1"/>
      <w:numFmt w:val="japaneseCounting"/>
      <w:lvlText w:val="%1、"/>
      <w:lvlJc w:val="left"/>
      <w:pPr>
        <w:ind w:left="861" w:hanging="720"/>
      </w:pPr>
      <w:rPr>
        <w:rFonts w:hint="default"/>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8D962CC"/>
    <w:multiLevelType w:val="hybridMultilevel"/>
    <w:tmpl w:val="FE70BC18"/>
    <w:lvl w:ilvl="0" w:tplc="69348028">
      <w:start w:val="5"/>
      <w:numFmt w:val="japaneseCounting"/>
      <w:lvlText w:val="%1、"/>
      <w:lvlJc w:val="left"/>
      <w:pPr>
        <w:ind w:left="720" w:hanging="720"/>
      </w:pPr>
      <w:rPr>
        <w:rFonts w:hint="default"/>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4C1"/>
    <w:rsid w:val="000B5DF2"/>
    <w:rsid w:val="005439C8"/>
    <w:rsid w:val="00874898"/>
    <w:rsid w:val="00F83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C597FC-4CAA-41F7-AE92-FC3B5124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39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39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39C8"/>
    <w:rPr>
      <w:sz w:val="18"/>
      <w:szCs w:val="18"/>
    </w:rPr>
  </w:style>
  <w:style w:type="paragraph" w:styleId="a4">
    <w:name w:val="footer"/>
    <w:basedOn w:val="a"/>
    <w:link w:val="Char0"/>
    <w:uiPriority w:val="99"/>
    <w:unhideWhenUsed/>
    <w:rsid w:val="005439C8"/>
    <w:pPr>
      <w:tabs>
        <w:tab w:val="center" w:pos="4153"/>
        <w:tab w:val="right" w:pos="8306"/>
      </w:tabs>
      <w:snapToGrid w:val="0"/>
      <w:jc w:val="left"/>
    </w:pPr>
    <w:rPr>
      <w:sz w:val="18"/>
      <w:szCs w:val="18"/>
    </w:rPr>
  </w:style>
  <w:style w:type="character" w:customStyle="1" w:styleId="Char0">
    <w:name w:val="页脚 Char"/>
    <w:basedOn w:val="a0"/>
    <w:link w:val="a4"/>
    <w:uiPriority w:val="99"/>
    <w:rsid w:val="005439C8"/>
    <w:rPr>
      <w:sz w:val="18"/>
      <w:szCs w:val="18"/>
    </w:rPr>
  </w:style>
  <w:style w:type="paragraph" w:styleId="a5">
    <w:name w:val="List Paragraph"/>
    <w:basedOn w:val="a"/>
    <w:uiPriority w:val="34"/>
    <w:qFormat/>
    <w:rsid w:val="005439C8"/>
    <w:pPr>
      <w:ind w:firstLineChars="200" w:firstLine="420"/>
    </w:pPr>
  </w:style>
  <w:style w:type="table" w:styleId="a6">
    <w:name w:val="Table Grid"/>
    <w:basedOn w:val="a1"/>
    <w:uiPriority w:val="59"/>
    <w:rsid w:val="005439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6" Type="http://schemas.openxmlformats.org/officeDocument/2006/relationships/endnotes" Target="endnotes.xml"/><Relationship Id="rId7" Type="http://schemas.openxmlformats.org/officeDocument/2006/relationships/image" Target="media/image1.png"/><Relationship Id="rId9"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8"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huyanan@qidufanyi.com</dc:creator>
  <cp:keywords/>
  <dc:description/>
  <cp:lastModifiedBy>huyanan@qidufanyi.com</cp:lastModifiedBy>
  <cp:revision>2</cp:revision>
  <dcterms:created xsi:type="dcterms:W3CDTF">2019-05-22T01:44:00Z</dcterms:created>
  <dcterms:modified xsi:type="dcterms:W3CDTF">2019-05-22T01:44:00Z</dcterms:modified>
</cp:coreProperties>
</file>