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978B4" w14:textId="77777777" w:rsidR="00745A54" w:rsidRDefault="00745A54" w:rsidP="006A6B9F">
      <w:pPr>
        <w:spacing w:line="240" w:lineRule="auto"/>
        <w:contextualSpacing/>
        <w:rPr>
          <w:rFonts w:ascii="Californian FB" w:hAnsi="Californian FB"/>
          <w:b/>
          <w:color w:val="041330"/>
          <w:sz w:val="24"/>
          <w:szCs w:val="24"/>
        </w:rPr>
      </w:pPr>
      <w:bookmarkStart w:id="0" w:name="_GoBack"/>
      <w:bookmarkEnd w:id="0"/>
    </w:p>
    <w:p>
      <w:pPr/>
    </w:p>
    <w:p w14:paraId="6613F2F3" w14:textId="77777777" w:rsidR="00745A54" w:rsidRDefault="00745A54" w:rsidP="006A6B9F">
      <w:pPr>
        <w:spacing w:line="240" w:lineRule="auto"/>
        <w:contextualSpacing/>
        <w:rPr>
          <w:rFonts w:ascii="Californian FB" w:hAnsi="Californian FB"/>
          <w:b/>
          <w:color w:val="041330"/>
          <w:sz w:val="24"/>
          <w:szCs w:val="24"/>
        </w:rPr>
      </w:pPr>
      <w:r/>
    </w:p>
    <w:p>
      <w:pPr/>
    </w:p>
    <w:p w14:paraId="7F3BFE9E" w14:textId="7A388A06" w:rsidR="00D45B68" w:rsidRPr="003E733C" w:rsidRDefault="006A6B9F" w:rsidP="006A6B9F">
      <w:pPr>
        <w:spacing w:line="240" w:lineRule="auto"/>
        <w:contextualSpacing/>
        <w:rPr>
          <w:rFonts w:ascii="Californian FB" w:hAnsi="Californian FB"/>
          <w:b/>
          <w:color w:val="041330"/>
          <w:sz w:val="24"/>
          <w:szCs w:val="24"/>
        </w:rPr>
      </w:pPr>
      <w:r>
        <w:t>INVESTMENT SUMMARY:</w:t>
      </w:r>
    </w:p>
    <w:p>
      <w:pPr/>
      <w:r>
        <w:t>投资总结：</w:t>
      </w:r>
    </w:p>
    <w:p w14:paraId="3BA3DD1F" w14:textId="77777777" w:rsidR="003455A5" w:rsidRPr="003E733C" w:rsidRDefault="003455A5" w:rsidP="003455A5">
      <w:pPr>
        <w:spacing w:line="240" w:lineRule="auto"/>
        <w:contextualSpacing/>
        <w:rPr>
          <w:rFonts w:ascii="Californian FB" w:hAnsi="Californian FB"/>
          <w:color w:val="041330"/>
          <w:sz w:val="24"/>
          <w:szCs w:val="24"/>
        </w:rPr>
      </w:pPr>
      <w:r/>
    </w:p>
    <w:p>
      <w:pPr/>
    </w:p>
    <w:p w14:paraId="1866D37E" w14:textId="080438B8" w:rsidR="00293604" w:rsidRPr="003E733C" w:rsidRDefault="003455A5" w:rsidP="005523C9">
      <w:pPr>
        <w:spacing w:line="240" w:lineRule="auto"/>
        <w:contextualSpacing/>
        <w:jc w:val="both"/>
        <w:rPr>
          <w:rFonts w:ascii="Californian FB" w:hAnsi="Californian FB"/>
          <w:color w:val="041330"/>
          <w:sz w:val="24"/>
          <w:szCs w:val="24"/>
        </w:rPr>
      </w:pPr>
      <w:r>
        <w:t xml:space="preserve">Vega Ventures has identified an opportunity to acquire an established home healthcare agency based in the Greater Los Angeles Area, California (“Project Echo”), which has established strong relationships with several large hospitals and medical facilities throughout southern California. With significant upside potential already proven by similar-sized competitors, coupled with a proprietary training program to minimize risk for their partner facilities, Vega Ventures Fund III (“VV Fund III”) shareholders are positioned to realize a healthy return on invested capital. </w:t>
      </w:r>
    </w:p>
    <w:p>
      <w:pPr>
        <w:jc w:val="both"/>
      </w:pPr>
      <w:r>
        <w:t>Vega Ventures已经确定了一个收购位于加利福尼亚州大洛杉矶地区的一家已成立的家庭医疗机构的机会（“Echo项目”），该机构与南加州的几家大型医院和医疗设施建立了牢固的关系。由于类似规模的竞争对手已经证明了巨大的上行潜力，再加上专有的培训计划，以最大限度地降低其合作伙伴设施的风险，Vega Ventures Fund III（“VV Fund III”）股东的定位是实现投资资本的健康回报。</w:t>
      </w:r>
    </w:p>
    <w:p w14:paraId="3BCC4B76" w14:textId="77777777" w:rsidR="00293604" w:rsidRPr="003E733C" w:rsidRDefault="00293604" w:rsidP="005523C9">
      <w:pPr>
        <w:spacing w:line="240" w:lineRule="auto"/>
        <w:contextualSpacing/>
        <w:jc w:val="both"/>
        <w:rPr>
          <w:rFonts w:ascii="Californian FB" w:hAnsi="Californian FB"/>
          <w:color w:val="041330"/>
          <w:sz w:val="24"/>
          <w:szCs w:val="24"/>
        </w:rPr>
      </w:pPr>
      <w:r/>
    </w:p>
    <w:p>
      <w:pPr>
        <w:jc w:val="both"/>
      </w:pPr>
    </w:p>
    <w:p w14:paraId="2777BAAC" w14:textId="592EA4ED" w:rsidR="003455A5" w:rsidRPr="003E733C" w:rsidRDefault="003B4A04" w:rsidP="005523C9">
      <w:pPr>
        <w:spacing w:line="240" w:lineRule="auto"/>
        <w:contextualSpacing/>
        <w:jc w:val="both"/>
        <w:rPr>
          <w:rFonts w:ascii="Californian FB" w:hAnsi="Californian FB"/>
          <w:color w:val="041330"/>
          <w:sz w:val="24"/>
          <w:szCs w:val="24"/>
        </w:rPr>
      </w:pPr>
      <w:r>
        <w:t xml:space="preserve">Vega Ventures has sourced this prospective deal through continued leads generated through its established professional network of healthcare professionals and business owners throughout Southern California. The General Partners intend to lead Vega Ventures’ pre-transaction and post-transaction interactions with Project Echo to help protect shareholder interests. In an effort to secure this prospective investment opportunity, Vega Ventures is expanding its shareholder base and accepting new investments in order to facilitate the size of this investment opportunity. As soon as enough capital commitments are secured to pursue this investment, Vega Ventures will commit additional time, energy and resources to move this deal to the finish line. </w:t>
      </w:r>
    </w:p>
    <w:p>
      <w:pPr>
        <w:jc w:val="both"/>
      </w:pPr>
      <w:r>
        <w:t>Vega Ventures通过其在南加州建立的医疗保健专业人员和企业主专业网络产生的持续线索，获得了这一预期交易。普通合伙人打算领导Vega Ventures与Echo项目的交易前和交易后互动，以帮助保护股东利益。为了确保这一潜在的投资机会，Vega Ventures正在扩大其股东基础并接受新的投资，以促进这一投资机会的规模。一旦有足够的资本承诺来进行这项投资，Vega Ventures将投入额外的时间、能源和资源，将这笔交易推向终点。</w:t>
      </w:r>
    </w:p>
    <w:p w14:paraId="56800203" w14:textId="77777777" w:rsidR="00B56A1A" w:rsidRPr="003E733C" w:rsidRDefault="00B56A1A" w:rsidP="005523C9">
      <w:pPr>
        <w:spacing w:line="240" w:lineRule="auto"/>
        <w:contextualSpacing/>
        <w:jc w:val="both"/>
        <w:rPr>
          <w:rFonts w:ascii="Californian FB" w:hAnsi="Californian FB"/>
          <w:color w:val="041330"/>
          <w:sz w:val="24"/>
          <w:szCs w:val="24"/>
        </w:rPr>
      </w:pPr>
      <w:r/>
    </w:p>
    <w:tbl>
      <w:tblPr>
        <w:tblStyle w:val="GridTable6Colorful-Accent1"/>
        <w:tblW w:w="0" w:type="auto"/>
        <w:tblBorders>
          <w:insideH w:val="single" w:sz="4" w:space="0" w:color="auto"/>
          <w:insideV w:val="single" w:sz="4" w:space="0" w:color="auto"/>
        </w:tblBorders>
        <w:tblLook w:val="04A0" w:firstRow="1" w:lastRow="0" w:firstColumn="1" w:lastColumn="0" w:noHBand="0" w:noVBand="1"/>
      </w:tblPr>
      <w:tblGrid>
        <w:gridCol w:w="2328"/>
        <w:gridCol w:w="6994"/>
      </w:tblGrid>
      <w:tr w:rsidR="003E733C" w:rsidRPr="003E733C" w14:paraId="5A6D49D9" w14:textId="77777777" w:rsidTr="00D9462A">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232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vAlign w:val="center"/>
          </w:tcPr>
          <w:p>
            <w:pPr/>
            <w:r>
              <w:t>Capital Required:</w:t>
            </w:r>
          </w:p>
          <w:p w14:paraId="07DA06DC" w14:textId="02C0C6D9" w:rsidR="00B56A1A" w:rsidRPr="003E733C" w:rsidRDefault="00D07ED7" w:rsidP="003455A5">
            <w:pPr>
              <w:contextualSpacing/>
              <w:rPr>
                <w:rFonts w:ascii="Californian FB" w:hAnsi="Californian FB"/>
                <w:b w:val="0"/>
                <w:color w:val="041330"/>
                <w:sz w:val="24"/>
                <w:szCs w:val="24"/>
              </w:rPr>
            </w:pPr>
            <w:r>
              <w:t>所需资金：</w:t>
            </w:r>
          </w:p>
        </w:tc>
        <w:tc>
          <w:tcPr>
            <w:tcW w:w="699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vAlign w:val="center"/>
          </w:tcPr>
          <w:p>
            <w:pPr/>
            <w:r>
              <w:t>$10.5 MM USD</w:t>
            </w:r>
          </w:p>
          <w:p w14:paraId="5245CA43" w14:textId="748E62C7" w:rsidR="00B56A1A" w:rsidRPr="003E733C" w:rsidRDefault="00B56A1A" w:rsidP="003455A5">
            <w:pPr>
              <w:contextualSpacing/>
              <w:cnfStyle w:val="100000000000" w:firstRow="1" w:lastRow="0" w:firstColumn="0" w:lastColumn="0" w:oddVBand="0" w:evenVBand="0" w:oddHBand="0" w:evenHBand="0" w:firstRowFirstColumn="0" w:firstRowLastColumn="0" w:lastRowFirstColumn="0" w:lastRowLastColumn="0"/>
              <w:rPr>
                <w:rFonts w:ascii="Californian FB" w:hAnsi="Californian FB"/>
                <w:b w:val="0"/>
                <w:color w:val="041330"/>
                <w:sz w:val="24"/>
                <w:szCs w:val="24"/>
              </w:rPr>
            </w:pPr>
            <w:r>
              <w:t>10.5美元</w:t>
            </w:r>
          </w:p>
        </w:tc>
      </w:tr>
      <w:tr w:rsidR="003E733C" w:rsidRPr="003E733C" w14:paraId="1AA8E470" w14:textId="77777777" w:rsidTr="00D9462A">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232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FFFFF" w:themeFill="background1"/>
            <w:vAlign w:val="center"/>
          </w:tcPr>
          <w:p>
            <w:pPr/>
            <w:r>
              <w:t>Fundraise Timeline:</w:t>
            </w:r>
          </w:p>
          <w:p w14:paraId="2DB6FE0C" w14:textId="77777777" w:rsidR="00B56A1A" w:rsidRPr="003E733C" w:rsidRDefault="00B56A1A" w:rsidP="003455A5">
            <w:pPr>
              <w:contextualSpacing/>
              <w:rPr>
                <w:rFonts w:ascii="Californian FB" w:hAnsi="Californian FB"/>
                <w:b w:val="0"/>
                <w:color w:val="041330"/>
                <w:sz w:val="24"/>
                <w:szCs w:val="24"/>
              </w:rPr>
            </w:pPr>
            <w:r>
              <w:t>筹资时间表：</w:t>
            </w:r>
          </w:p>
        </w:tc>
        <w:tc>
          <w:tcPr>
            <w:tcW w:w="699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FFFFF" w:themeFill="background1"/>
            <w:vAlign w:val="center"/>
          </w:tcPr>
          <w:p>
            <w:pPr/>
            <w:r>
              <w:t>Expected to close financing round by July 2019</w:t>
            </w:r>
          </w:p>
          <w:p w14:paraId="603CE1A2" w14:textId="29241652" w:rsidR="00B56A1A" w:rsidRPr="003E733C" w:rsidRDefault="00B56A1A" w:rsidP="003455A5">
            <w:pPr>
              <w:contextualSpacing/>
              <w:cnfStyle w:val="000000100000" w:firstRow="0" w:lastRow="0" w:firstColumn="0" w:lastColumn="0" w:oddVBand="0" w:evenVBand="0" w:oddHBand="1" w:evenHBand="0" w:firstRowFirstColumn="0" w:firstRowLastColumn="0" w:lastRowFirstColumn="0" w:lastRowLastColumn="0"/>
              <w:rPr>
                <w:rFonts w:ascii="Californian FB" w:hAnsi="Californian FB"/>
                <w:color w:val="041330"/>
                <w:sz w:val="24"/>
                <w:szCs w:val="24"/>
              </w:rPr>
            </w:pPr>
            <w:r>
              <w:t>预计到2019年7月结束融资回合</w:t>
            </w:r>
          </w:p>
        </w:tc>
      </w:tr>
      <w:tr w:rsidR="003E733C" w:rsidRPr="003E733C" w14:paraId="76630A4E" w14:textId="77777777" w:rsidTr="00D9462A">
        <w:trPr>
          <w:trHeight w:val="353"/>
        </w:trPr>
        <w:tc>
          <w:tcPr>
            <w:cnfStyle w:val="001000000000" w:firstRow="0" w:lastRow="0" w:firstColumn="1" w:lastColumn="0" w:oddVBand="0" w:evenVBand="0" w:oddHBand="0" w:evenHBand="0" w:firstRowFirstColumn="0" w:firstRowLastColumn="0" w:lastRowFirstColumn="0" w:lastRowLastColumn="0"/>
            <w:tcW w:w="232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vAlign w:val="center"/>
          </w:tcPr>
          <w:p>
            <w:pPr/>
            <w:r>
              <w:t>Use of Proceeds:</w:t>
            </w:r>
          </w:p>
          <w:p w14:paraId="5C505555" w14:textId="77777777" w:rsidR="00B56A1A" w:rsidRPr="003E733C" w:rsidRDefault="00B56A1A" w:rsidP="003455A5">
            <w:pPr>
              <w:contextualSpacing/>
              <w:rPr>
                <w:rFonts w:ascii="Californian FB" w:hAnsi="Californian FB"/>
                <w:b w:val="0"/>
                <w:color w:val="041330"/>
                <w:sz w:val="24"/>
                <w:szCs w:val="24"/>
              </w:rPr>
            </w:pPr>
            <w:r>
              <w:t>收益用途：</w:t>
            </w:r>
          </w:p>
        </w:tc>
        <w:tc>
          <w:tcPr>
            <w:tcW w:w="699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vAlign w:val="center"/>
          </w:tcPr>
          <w:p>
            <w:pPr/>
            <w:r>
              <w:t>Acquisition capital for VV Fund III’s acquisition of Project Echo</w:t>
            </w:r>
          </w:p>
          <w:p w14:paraId="10E68402" w14:textId="4A3AEB00" w:rsidR="00B56A1A" w:rsidRPr="003E733C" w:rsidRDefault="001738E1" w:rsidP="003455A5">
            <w:pPr>
              <w:contextualSpacing/>
              <w:cnfStyle w:val="000000000000" w:firstRow="0" w:lastRow="0" w:firstColumn="0" w:lastColumn="0" w:oddVBand="0" w:evenVBand="0" w:oddHBand="0" w:evenHBand="0" w:firstRowFirstColumn="0" w:firstRowLastColumn="0" w:lastRowFirstColumn="0" w:lastRowLastColumn="0"/>
              <w:rPr>
                <w:rFonts w:ascii="Californian FB" w:hAnsi="Californian FB"/>
                <w:color w:val="041330"/>
                <w:sz w:val="24"/>
                <w:szCs w:val="24"/>
              </w:rPr>
            </w:pPr>
            <w:r>
              <w:t>VV Fund III收购Echo项目的收购资金</w:t>
            </w:r>
          </w:p>
        </w:tc>
      </w:tr>
      <w:tr w:rsidR="003E733C" w:rsidRPr="003E733C" w14:paraId="78B3EC4D" w14:textId="77777777" w:rsidTr="00D9462A">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232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FFFFF" w:themeFill="background1"/>
            <w:vAlign w:val="center"/>
          </w:tcPr>
          <w:p>
            <w:pPr/>
            <w:r>
              <w:t>Investment Timeline:</w:t>
            </w:r>
          </w:p>
          <w:p w14:paraId="508F3A69" w14:textId="77777777" w:rsidR="00B56A1A" w:rsidRPr="003E733C" w:rsidRDefault="00B56A1A" w:rsidP="003455A5">
            <w:pPr>
              <w:contextualSpacing/>
              <w:rPr>
                <w:rFonts w:ascii="Californian FB" w:hAnsi="Californian FB"/>
                <w:b w:val="0"/>
                <w:color w:val="041330"/>
                <w:sz w:val="24"/>
                <w:szCs w:val="24"/>
              </w:rPr>
            </w:pPr>
            <w:r>
              <w:t>投资时间表：</w:t>
            </w:r>
          </w:p>
        </w:tc>
        <w:tc>
          <w:tcPr>
            <w:tcW w:w="699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FFFFF" w:themeFill="background1"/>
            <w:vAlign w:val="center"/>
          </w:tcPr>
          <w:p>
            <w:pPr/>
            <w:r>
              <w:t>Exit expected before the end of 2025</w:t>
            </w:r>
          </w:p>
          <w:p w14:paraId="21C0B386" w14:textId="312D1FAF" w:rsidR="00B56A1A" w:rsidRPr="003E733C" w:rsidRDefault="00B56A1A" w:rsidP="003455A5">
            <w:pPr>
              <w:contextualSpacing/>
              <w:cnfStyle w:val="000000100000" w:firstRow="0" w:lastRow="0" w:firstColumn="0" w:lastColumn="0" w:oddVBand="0" w:evenVBand="0" w:oddHBand="1" w:evenHBand="0" w:firstRowFirstColumn="0" w:firstRowLastColumn="0" w:lastRowFirstColumn="0" w:lastRowLastColumn="0"/>
              <w:rPr>
                <w:rFonts w:ascii="Californian FB" w:hAnsi="Californian FB"/>
                <w:color w:val="041330"/>
                <w:sz w:val="24"/>
                <w:szCs w:val="24"/>
              </w:rPr>
            </w:pPr>
            <w:r>
              <w:t>预计2025年底前退出</w:t>
            </w:r>
          </w:p>
        </w:tc>
      </w:tr>
      <w:tr w:rsidR="003E733C" w:rsidRPr="003E733C" w14:paraId="4C784621" w14:textId="77777777" w:rsidTr="00D9462A">
        <w:trPr>
          <w:trHeight w:val="337"/>
        </w:trPr>
        <w:tc>
          <w:tcPr>
            <w:cnfStyle w:val="001000000000" w:firstRow="0" w:lastRow="0" w:firstColumn="1" w:lastColumn="0" w:oddVBand="0" w:evenVBand="0" w:oddHBand="0" w:evenHBand="0" w:firstRowFirstColumn="0" w:firstRowLastColumn="0" w:lastRowFirstColumn="0" w:lastRowLastColumn="0"/>
            <w:tcW w:w="232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vAlign w:val="center"/>
          </w:tcPr>
          <w:p>
            <w:pPr/>
            <w:r>
              <w:t>Targeted ROI:</w:t>
            </w:r>
          </w:p>
          <w:p w14:paraId="297D30E6" w14:textId="0A60836C" w:rsidR="00B56A1A" w:rsidRPr="003E733C" w:rsidRDefault="001738E1" w:rsidP="003455A5">
            <w:pPr>
              <w:contextualSpacing/>
              <w:rPr>
                <w:rFonts w:ascii="Californian FB" w:hAnsi="Californian FB"/>
                <w:b w:val="0"/>
                <w:color w:val="041330"/>
                <w:sz w:val="24"/>
                <w:szCs w:val="24"/>
              </w:rPr>
            </w:pPr>
            <w:r>
              <w:t>目标投资回报率：</w:t>
            </w:r>
          </w:p>
        </w:tc>
        <w:tc>
          <w:tcPr>
            <w:tcW w:w="699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vAlign w:val="center"/>
          </w:tcPr>
          <w:p>
            <w:pPr/>
            <w:r>
              <w:t>Potential for 3x-5x return on capital over a 4-6-year period</w:t>
            </w:r>
          </w:p>
          <w:p w14:paraId="42C9A2D3" w14:textId="5D000163" w:rsidR="00B56A1A" w:rsidRPr="003E733C" w:rsidRDefault="00B56A1A" w:rsidP="003455A5">
            <w:pPr>
              <w:contextualSpacing/>
              <w:cnfStyle w:val="000000000000" w:firstRow="0" w:lastRow="0" w:firstColumn="0" w:lastColumn="0" w:oddVBand="0" w:evenVBand="0" w:oddHBand="0" w:evenHBand="0" w:firstRowFirstColumn="0" w:firstRowLastColumn="0" w:lastRowFirstColumn="0" w:lastRowLastColumn="0"/>
              <w:rPr>
                <w:rFonts w:ascii="Californian FB" w:hAnsi="Californian FB"/>
                <w:color w:val="041330"/>
                <w:sz w:val="24"/>
                <w:szCs w:val="24"/>
              </w:rPr>
            </w:pPr>
            <w:r>
              <w:t>4-6年内资本回报率可能达到3-5倍</w:t>
            </w:r>
          </w:p>
        </w:tc>
      </w:tr>
    </w:tbl>
    <w:p w14:paraId="23D417D9" w14:textId="77777777" w:rsidR="003F04E4" w:rsidRPr="003E733C" w:rsidRDefault="003F04E4" w:rsidP="005523C9">
      <w:pPr>
        <w:shd w:val="clear" w:color="auto" w:fill="FFFFFF"/>
        <w:spacing w:after="0" w:line="240" w:lineRule="auto"/>
        <w:jc w:val="both"/>
        <w:rPr>
          <w:rFonts w:ascii="Californian FB" w:eastAsia="Times New Roman" w:hAnsi="Californian FB" w:cs="Arial"/>
          <w:color w:val="041330"/>
          <w:sz w:val="24"/>
          <w:szCs w:val="24"/>
        </w:rPr>
      </w:pPr>
    </w:p>
    <w:p>
      <w:pPr>
        <w:jc w:val="both"/>
      </w:pPr>
    </w:p>
    <w:p w14:paraId="1AA3969B" w14:textId="57E0982F" w:rsidR="005523C9" w:rsidRPr="003E733C" w:rsidRDefault="003455A5" w:rsidP="002B0E44">
      <w:pPr>
        <w:shd w:val="clear" w:color="auto" w:fill="FFFFFF"/>
        <w:spacing w:after="0" w:line="240" w:lineRule="auto"/>
        <w:contextualSpacing/>
        <w:jc w:val="both"/>
        <w:rPr>
          <w:rFonts w:ascii="Californian FB" w:eastAsia="Times New Roman" w:hAnsi="Californian FB" w:cs="Arial"/>
          <w:color w:val="041330"/>
          <w:sz w:val="24"/>
          <w:szCs w:val="24"/>
        </w:rPr>
      </w:pPr>
      <w:r>
        <w:t>This information has been prepared to give investors a better understanding about Project Echo. The goal of this Investment Summary is to give a general overview of the field, of the company and of the opportunity. Upon request, we can provide additional analysis as due diligence continues to progress, which may help investors understand the opportunity in greater detail.</w:t>
      </w:r>
    </w:p>
    <w:p>
      <w:pPr>
        <w:jc w:val="both"/>
      </w:pPr>
      <w:r>
        <w:t>这些信息旨在让投资者更好地了解Echo项目。本投资摘要的目标是对该领域、公司和机会进行概述。应要求，我们可以在尽职调查继续进行时提供额外的分析，这可能有助于投资者更详细地了解这一机会。</w:t>
      </w:r>
    </w:p>
    <w:p w14:paraId="10D589AF" w14:textId="77777777" w:rsidR="00FF298F" w:rsidRPr="003E733C" w:rsidRDefault="00FF298F" w:rsidP="002B0E44">
      <w:pPr>
        <w:shd w:val="clear" w:color="auto" w:fill="FFFFFF"/>
        <w:spacing w:after="0" w:line="240" w:lineRule="auto"/>
        <w:contextualSpacing/>
        <w:jc w:val="both"/>
        <w:rPr>
          <w:rFonts w:ascii="Californian FB" w:eastAsia="Times New Roman" w:hAnsi="Californian FB" w:cs="Arial"/>
          <w:color w:val="041330"/>
          <w:sz w:val="24"/>
          <w:szCs w:val="24"/>
        </w:rPr>
      </w:pPr>
      <w:r/>
    </w:p>
    <w:p>
      <w:pPr>
        <w:jc w:val="both"/>
      </w:pPr>
    </w:p>
    <w:p w14:paraId="6B0FBC17" w14:textId="77777777" w:rsidR="00FF298F" w:rsidRPr="003E733C" w:rsidRDefault="00FF298F" w:rsidP="002B0E44">
      <w:pPr>
        <w:shd w:val="clear" w:color="auto" w:fill="FFFFFF"/>
        <w:spacing w:after="0" w:line="240" w:lineRule="auto"/>
        <w:contextualSpacing/>
        <w:jc w:val="both"/>
        <w:rPr>
          <w:rFonts w:ascii="Californian FB" w:eastAsia="Times New Roman" w:hAnsi="Californian FB" w:cs="Arial"/>
          <w:color w:val="041330"/>
          <w:sz w:val="24"/>
          <w:szCs w:val="24"/>
        </w:rPr>
      </w:pPr>
      <w:r>
        <w:t>Investment Opportunity Highlights:</w:t>
      </w:r>
    </w:p>
    <w:p>
      <w:pPr>
        <w:jc w:val="both"/>
      </w:pPr>
      <w:r>
        <w:t>投资机会亮点：</w:t>
      </w:r>
    </w:p>
    <w:p w14:paraId="3DAFC21E" w14:textId="50FC15C8" w:rsidR="0021227C" w:rsidRDefault="00737116" w:rsidP="00FF298F">
      <w:pPr>
        <w:pStyle w:val="ListParagraph"/>
        <w:numPr>
          <w:ilvl w:val="0"/>
          <w:numId w:val="2"/>
        </w:numPr>
        <w:shd w:val="clear" w:color="auto" w:fill="FFFFFF"/>
        <w:spacing w:after="0" w:line="240" w:lineRule="auto"/>
        <w:jc w:val="both"/>
        <w:rPr>
          <w:rFonts w:ascii="Californian FB" w:eastAsia="Times New Roman" w:hAnsi="Californian FB" w:cs="Arial"/>
          <w:color w:val="041330"/>
          <w:sz w:val="24"/>
          <w:szCs w:val="24"/>
        </w:rPr>
      </w:pPr>
      <w:r>
        <w:t xml:space="preserve">The structure of the investment will follow a traditional private equity model, wherein limited partners’ (“LP”) investments will be managed by the fund’s general partners (“GP”). Aligning incentives between GP and LPs increases the likelihood of a successful outcome for all parties. </w:t>
      </w:r>
    </w:p>
    <w:p>
      <w:pPr>
        <w:pStyle w:val="ListParagraph"/>
        <w:jc w:val="both"/>
      </w:pPr>
      <w:r>
        <w:t>投资结构将遵循传统的私募股权模式，其中有限合伙人（“LP”）投资将由基金的普通合伙人（“GP”）管理。在普通合伙人和有限合伙人之间调整激励措施，可以提高所有各方取得成功的可能性。</w:t>
      </w:r>
    </w:p>
    <w:p w14:paraId="0890DF00" w14:textId="354C40FD" w:rsidR="0021227C" w:rsidRDefault="005C1CC3" w:rsidP="00FF298F">
      <w:pPr>
        <w:pStyle w:val="ListParagraph"/>
        <w:numPr>
          <w:ilvl w:val="0"/>
          <w:numId w:val="2"/>
        </w:numPr>
        <w:shd w:val="clear" w:color="auto" w:fill="FFFFFF"/>
        <w:spacing w:after="0" w:line="240" w:lineRule="auto"/>
        <w:jc w:val="both"/>
        <w:rPr>
          <w:rFonts w:ascii="Californian FB" w:eastAsia="Times New Roman" w:hAnsi="Californian FB" w:cs="Arial"/>
          <w:color w:val="041330"/>
          <w:sz w:val="24"/>
          <w:szCs w:val="24"/>
        </w:rPr>
      </w:pPr>
      <w:r>
        <w:t xml:space="preserve">The acquisition and management of Project Echo will be coordinated and directed by the general partner deal team at Vega Ventures, LLC, VV Fund III. Having an experienced and dedicated team of executives and deal professionals will increase the likelihood of a successful outcome for VV Fund III’s shareholders. </w:t>
      </w:r>
    </w:p>
    <w:p>
      <w:pPr>
        <w:pStyle w:val="ListParagraph"/>
        <w:jc w:val="both"/>
      </w:pPr>
      <w:r>
        <w:t>Echo项目的收购和管理将由Vega Ventures，LLC，VV Fund III的普通合伙人交易团队进行协调和指导。拥有一支经验丰富、专心致志的高管和交易专业人员团队将增加VV Fund III股东取得成功的可能性。</w:t>
      </w:r>
    </w:p>
    <w:p w14:paraId="328A83DF" w14:textId="29E591D5" w:rsidR="00173967" w:rsidRDefault="00632595" w:rsidP="00FF298F">
      <w:pPr>
        <w:pStyle w:val="ListParagraph"/>
        <w:numPr>
          <w:ilvl w:val="0"/>
          <w:numId w:val="2"/>
        </w:numPr>
        <w:shd w:val="clear" w:color="auto" w:fill="FFFFFF"/>
        <w:spacing w:after="0" w:line="240" w:lineRule="auto"/>
        <w:jc w:val="both"/>
        <w:rPr>
          <w:rFonts w:ascii="Californian FB" w:eastAsia="Times New Roman" w:hAnsi="Californian FB" w:cs="Arial"/>
          <w:color w:val="041330"/>
          <w:sz w:val="24"/>
          <w:szCs w:val="24"/>
        </w:rPr>
      </w:pPr>
      <w:r>
        <w:t>Project Echo is a proposed acquisition of an established home healthcare company in a growing industry which is set to continue growing at 10%+ for the next 30 years due to the rapidly aging population of the United States.</w:t>
      </w:r>
    </w:p>
    <w:p>
      <w:pPr>
        <w:pStyle w:val="ListParagraph"/>
        <w:jc w:val="both"/>
      </w:pPr>
      <w:r>
        <w:t>Echo项目是对一家成长中的家庭保健公司的收购，由于美国人口的快速老龄化，该公司在未来30年内将继续以10%以上的速度增长。</w:t>
      </w:r>
    </w:p>
    <w:p w14:paraId="5DF73F9C" w14:textId="2B3697A5" w:rsidR="00FF18D0" w:rsidRPr="00C74BCD" w:rsidRDefault="00632595" w:rsidP="001E4F98">
      <w:pPr>
        <w:pStyle w:val="ListParagraph"/>
        <w:numPr>
          <w:ilvl w:val="0"/>
          <w:numId w:val="2"/>
        </w:numPr>
        <w:shd w:val="clear" w:color="auto" w:fill="FFFFFF"/>
        <w:spacing w:after="0" w:line="240" w:lineRule="auto"/>
        <w:jc w:val="both"/>
        <w:rPr>
          <w:rFonts w:ascii="Californian FB" w:eastAsia="Times New Roman" w:hAnsi="Californian FB" w:cs="Arial"/>
          <w:b/>
          <w:color w:val="041330"/>
          <w:sz w:val="24"/>
          <w:szCs w:val="24"/>
          <w:u w:val="single"/>
        </w:rPr>
      </w:pPr>
      <w:r>
        <w:t>The company is located in, and provides service to, one of America’s most populated urban areas, which also happens to be a retirement destination for many wealthy individuals due to the moderate climate and the robust network of healthcare services located throughout southern California.</w:t>
      </w:r>
    </w:p>
    <w:p>
      <w:pPr>
        <w:pStyle w:val="ListParagraph"/>
        <w:jc w:val="both"/>
      </w:pPr>
      <w:r>
        <w:t>该公司位于美国人口最多的城市地区之一，并为其提供服务。由于气候温和，加上遍布南加州的健康医疗服务网络，该地区恰好也是许多富人的退休目的地。</w:t>
      </w:r>
    </w:p>
    <w:p w14:paraId="5FE04F2B" w14:textId="0967E05D" w:rsidR="00947866" w:rsidRPr="003E733C" w:rsidRDefault="00F03017" w:rsidP="00947866">
      <w:pPr>
        <w:shd w:val="clear" w:color="auto" w:fill="FFFFFF"/>
        <w:spacing w:after="0" w:line="240" w:lineRule="auto"/>
        <w:jc w:val="both"/>
        <w:rPr>
          <w:rFonts w:ascii="Californian FB" w:eastAsia="Times New Roman" w:hAnsi="Californian FB" w:cs="Arial"/>
          <w:color w:val="041330"/>
          <w:sz w:val="24"/>
          <w:szCs w:val="24"/>
        </w:rPr>
      </w:pPr>
      <w:r>
        <w:t>Industry Overview:</w:t>
      </w:r>
    </w:p>
    <w:p>
      <w:pPr>
        <w:jc w:val="both"/>
      </w:pPr>
      <w:r>
        <w:t>行业概况：</w:t>
      </w:r>
    </w:p>
    <w:p w14:paraId="26189CF6" w14:textId="167AEDF3" w:rsidR="004F7433" w:rsidRDefault="004F7433" w:rsidP="00947866">
      <w:pPr>
        <w:shd w:val="clear" w:color="auto" w:fill="FFFFFF"/>
        <w:spacing w:after="0" w:line="240" w:lineRule="auto"/>
        <w:jc w:val="both"/>
        <w:rPr>
          <w:rFonts w:ascii="Californian FB" w:eastAsia="Times New Roman" w:hAnsi="Californian FB" w:cs="Arial"/>
          <w:color w:val="041330"/>
          <w:sz w:val="24"/>
          <w:szCs w:val="24"/>
        </w:rPr>
      </w:pPr>
      <w:r>
        <w:t>According to a recent Economic Census, there are 22,975 home health care service establishments in the U.S., employing nearly 1 million people and generating revenues of over 46 billion dollars. The main receivers of home healthcare services are seniors who require skilled and non-skilled assistance, including help with ADLs (activities of daily living) and IADLs (or instrumental activities of daily living), but they are not the only group that requires care and companionship. Additional home healthcare service recipients may include: anyone with a terminal illness who wishes to die at home;  disabled or chronically sick adults or infants; and,  adults who need assistance because they are disabled or recuperating from a hospital stay.</w:t>
      </w:r>
    </w:p>
    <w:p>
      <w:pPr>
        <w:jc w:val="both"/>
      </w:pPr>
      <w:r>
        <w:t>根据最近的一次经济普查，美国有22975家家庭保健服务机构，雇用了近100万人，收入超过460亿美元。家庭保健服务的主要受益者是需要技术和非技术援助的老年人，包括ADL（日常生活活动）和IADLS（或日常生活工具活动）的帮助，但他们不是唯一需要照顾和陪伴的群体。其他家庭保健服务接受者可能包括：希望在家中死亡的终末期疾病患者；残疾或慢性病成人或婴儿；以及因残疾或住院疗养而需要帮助的成人。</w:t>
      </w:r>
    </w:p>
    <w:p w14:paraId="5E6B4785" w14:textId="54A3B3D3" w:rsidR="00EA08E3" w:rsidRDefault="00EA08E3" w:rsidP="00947866">
      <w:pPr>
        <w:shd w:val="clear" w:color="auto" w:fill="FFFFFF"/>
        <w:spacing w:after="0" w:line="240" w:lineRule="auto"/>
        <w:jc w:val="both"/>
        <w:rPr>
          <w:rFonts w:ascii="Californian FB" w:eastAsia="Times New Roman" w:hAnsi="Californian FB" w:cs="Arial"/>
          <w:color w:val="041330"/>
          <w:sz w:val="24"/>
          <w:szCs w:val="24"/>
        </w:rPr>
      </w:pPr>
      <w:r/>
    </w:p>
    <w:p>
      <w:pPr>
        <w:jc w:val="both"/>
      </w:pPr>
    </w:p>
    <w:p w14:paraId="27367ED2" w14:textId="05073F13" w:rsidR="00EA08E3" w:rsidRDefault="00EA08E3" w:rsidP="00947866">
      <w:pPr>
        <w:shd w:val="clear" w:color="auto" w:fill="FFFFFF"/>
        <w:spacing w:after="0" w:line="240" w:lineRule="auto"/>
        <w:jc w:val="both"/>
        <w:rPr>
          <w:rFonts w:ascii="Californian FB" w:eastAsia="Times New Roman" w:hAnsi="Californian FB" w:cs="Arial"/>
          <w:color w:val="041330"/>
          <w:sz w:val="24"/>
          <w:szCs w:val="24"/>
        </w:rPr>
      </w:pPr>
      <w:r>
        <w:t>The number of people using home healthcare services is set to continue to grow as population statistics show that in 2010 over 45 million people in the U.S. were aged over 65, up from nearly 37 million in 2000. As shown in the table below, supplied by the Population Division of the U.S. Census Bureau, by the year 2020, nearly 62 million people will have reached retirement age. This is the largest group of retirees in the history of the U.S. and will create continuing demand for home healthcare services and facilities.</w:t>
      </w:r>
    </w:p>
    <w:p>
      <w:pPr>
        <w:jc w:val="both"/>
      </w:pPr>
      <w:r>
        <w:t>由于人口统计数据显示，2010年美国超过4500万人的年龄超过65岁，比2000年的近3700万人增长，使用家庭医疗服务的人数将继续增长。如下表所示，由美国人口普查局人口司提供，到2020年，将有近6200万人达到退休年龄。这是美国历史上最大的退休人员群体，并将继续创造对家庭医疗服务和设施的需求。</w:t>
      </w:r>
    </w:p>
    <w:p w14:paraId="27B3BD23" w14:textId="4DEC4A1D" w:rsidR="00EA08E3" w:rsidRDefault="00EA08E3" w:rsidP="00947866">
      <w:pPr>
        <w:shd w:val="clear" w:color="auto" w:fill="FFFFFF"/>
        <w:spacing w:after="0" w:line="240" w:lineRule="auto"/>
        <w:jc w:val="both"/>
        <w:rPr>
          <w:rFonts w:ascii="Californian FB" w:eastAsia="Times New Roman" w:hAnsi="Californian FB" w:cs="Arial"/>
          <w:color w:val="041330"/>
          <w:sz w:val="24"/>
          <w:szCs w:val="24"/>
        </w:rPr>
      </w:pPr>
      <w:r/>
    </w:p>
    <w:p>
      <w:pPr>
        <w:jc w:val="both"/>
      </w:pPr>
    </w:p>
    <w:p w14:paraId="7CE41E90" w14:textId="77777777" w:rsidR="00100A6A" w:rsidRDefault="00100A6A" w:rsidP="00947866">
      <w:pPr>
        <w:shd w:val="clear" w:color="auto" w:fill="FFFFFF"/>
        <w:spacing w:after="0" w:line="240" w:lineRule="auto"/>
        <w:jc w:val="both"/>
        <w:rPr>
          <w:rFonts w:ascii="Californian FB" w:eastAsia="Times New Roman" w:hAnsi="Californian FB" w:cs="Arial"/>
          <w:color w:val="041330"/>
          <w:sz w:val="24"/>
          <w:szCs w:val="24"/>
        </w:rPr>
      </w:pPr>
      <w:r/>
    </w:p>
    <w:tbl>
      <w:tblPr>
        <w:tblStyle w:val="GridTable6Colorful-Accent1"/>
        <w:tblW w:w="0" w:type="auto"/>
        <w:tblInd w:w="-5" w:type="dxa"/>
        <w:tblBorders>
          <w:insideH w:val="single" w:sz="4" w:space="0" w:color="auto"/>
          <w:insideV w:val="single" w:sz="4" w:space="0" w:color="auto"/>
        </w:tblBorders>
        <w:tblLook w:val="04A0" w:firstRow="1" w:lastRow="0" w:firstColumn="1" w:lastColumn="0" w:noHBand="0" w:noVBand="1"/>
      </w:tblPr>
      <w:tblGrid>
        <w:gridCol w:w="1608"/>
        <w:gridCol w:w="1681"/>
        <w:gridCol w:w="1515"/>
        <w:gridCol w:w="1515"/>
        <w:gridCol w:w="1515"/>
        <w:gridCol w:w="1515"/>
      </w:tblGrid>
      <w:tr w:rsidR="00EA08E3" w:rsidRPr="003E733C" w14:paraId="4C217E65" w14:textId="77777777" w:rsidTr="00EA08E3">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60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vAlign w:val="center"/>
          </w:tcPr>
          <w:p>
            <w:pPr>
              <w:jc w:val="center"/>
            </w:pPr>
            <w:r>
              <w:t>Age</w:t>
            </w:r>
          </w:p>
          <w:p w14:paraId="5050A23B" w14:textId="2ACB4F96" w:rsidR="00EA08E3" w:rsidRPr="00EE071F" w:rsidRDefault="00EE071F" w:rsidP="00290440">
            <w:pPr>
              <w:contextualSpacing/>
              <w:jc w:val="center"/>
              <w:rPr>
                <w:rFonts w:ascii="Californian FB" w:hAnsi="Californian FB"/>
                <w:b w:val="0"/>
                <w:color w:val="041330"/>
                <w:sz w:val="24"/>
                <w:szCs w:val="24"/>
              </w:rPr>
            </w:pPr>
            <w:r>
              <w:t>年龄</w:t>
            </w:r>
          </w:p>
        </w:tc>
        <w:tc>
          <w:tcPr>
            <w:tcW w:w="16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tcPr>
          <w:p>
            <w:pPr>
              <w:jc w:val="center"/>
            </w:pPr>
            <w:r>
              <w:t xml:space="preserve">2010 </w:t>
            </w:r>
          </w:p>
          <w:p w14:paraId="7BDEC178" w14:textId="77777777" w:rsidR="008D24AA" w:rsidRDefault="00EE071F" w:rsidP="00290440">
            <w:pPr>
              <w:contextualSpacing/>
              <w:jc w:val="center"/>
              <w:cnfStyle w:val="100000000000" w:firstRow="1" w:lastRow="0" w:firstColumn="0" w:lastColumn="0" w:oddVBand="0" w:evenVBand="0" w:oddHBand="0" w:evenHBand="0" w:firstRowFirstColumn="0" w:firstRowLastColumn="0" w:lastRowFirstColumn="0" w:lastRowLastColumn="0"/>
              <w:rPr>
                <w:rFonts w:ascii="Californian FB" w:hAnsi="Californian FB"/>
                <w:bCs w:val="0"/>
                <w:color w:val="041330"/>
                <w:sz w:val="24"/>
                <w:szCs w:val="24"/>
              </w:rPr>
            </w:pPr>
            <w:r>
              <w:t>二千零一十</w:t>
            </w:r>
          </w:p>
          <w:p>
            <w:pPr>
              <w:jc w:val="center"/>
            </w:pPr>
            <w:r>
              <w:t>(in thousands)</w:t>
            </w:r>
          </w:p>
          <w:p w14:paraId="406C879A" w14:textId="6DEEC3E9" w:rsidR="00EA08E3" w:rsidRPr="00EE071F" w:rsidRDefault="00EE071F" w:rsidP="00290440">
            <w:pPr>
              <w:contextualSpacing/>
              <w:jc w:val="center"/>
              <w:cnfStyle w:val="100000000000" w:firstRow="1" w:lastRow="0" w:firstColumn="0" w:lastColumn="0" w:oddVBand="0" w:evenVBand="0" w:oddHBand="0" w:evenHBand="0" w:firstRowFirstColumn="0" w:firstRowLastColumn="0" w:lastRowFirstColumn="0" w:lastRowLastColumn="0"/>
              <w:rPr>
                <w:rFonts w:ascii="Californian FB" w:hAnsi="Californian FB"/>
                <w:b w:val="0"/>
                <w:color w:val="041330"/>
                <w:sz w:val="24"/>
                <w:szCs w:val="24"/>
              </w:rPr>
            </w:pPr>
            <w:r>
              <w:t>（数以千计）</w:t>
            </w:r>
          </w:p>
        </w:tc>
        <w:tc>
          <w:tcPr>
            <w:tcW w:w="151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vAlign w:val="center"/>
          </w:tcPr>
          <w:p>
            <w:pPr>
              <w:jc w:val="center"/>
            </w:pPr>
            <w:r>
              <w:t xml:space="preserve">2020 </w:t>
            </w:r>
          </w:p>
          <w:p w14:paraId="21FD774F" w14:textId="0B8662E9" w:rsidR="008D24AA" w:rsidRDefault="008D24AA" w:rsidP="008D24AA">
            <w:pPr>
              <w:contextualSpacing/>
              <w:jc w:val="center"/>
              <w:cnfStyle w:val="100000000000" w:firstRow="1" w:lastRow="0" w:firstColumn="0" w:lastColumn="0" w:oddVBand="0" w:evenVBand="0" w:oddHBand="0" w:evenHBand="0" w:firstRowFirstColumn="0" w:firstRowLastColumn="0" w:lastRowFirstColumn="0" w:lastRowLastColumn="0"/>
              <w:rPr>
                <w:rFonts w:ascii="Californian FB" w:hAnsi="Californian FB"/>
                <w:bCs w:val="0"/>
                <w:color w:val="041330"/>
                <w:sz w:val="24"/>
                <w:szCs w:val="24"/>
              </w:rPr>
            </w:pPr>
            <w:r>
              <w:t>二千零二十</w:t>
            </w:r>
          </w:p>
          <w:p>
            <w:pPr>
              <w:jc w:val="center"/>
            </w:pPr>
            <w:r>
              <w:t>(in thousands)</w:t>
            </w:r>
          </w:p>
          <w:p w14:paraId="1E9AF471" w14:textId="13D6E2D9" w:rsidR="00EA08E3" w:rsidRPr="00EE071F" w:rsidRDefault="008D24AA" w:rsidP="008D24AA">
            <w:pPr>
              <w:contextualSpacing/>
              <w:jc w:val="center"/>
              <w:cnfStyle w:val="100000000000" w:firstRow="1" w:lastRow="0" w:firstColumn="0" w:lastColumn="0" w:oddVBand="0" w:evenVBand="0" w:oddHBand="0" w:evenHBand="0" w:firstRowFirstColumn="0" w:firstRowLastColumn="0" w:lastRowFirstColumn="0" w:lastRowLastColumn="0"/>
              <w:rPr>
                <w:rFonts w:ascii="Californian FB" w:hAnsi="Californian FB"/>
                <w:b w:val="0"/>
                <w:color w:val="041330"/>
                <w:sz w:val="24"/>
                <w:szCs w:val="24"/>
              </w:rPr>
            </w:pPr>
            <w:r>
              <w:t>（数以千计）</w:t>
            </w:r>
          </w:p>
        </w:tc>
        <w:tc>
          <w:tcPr>
            <w:tcW w:w="151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tcPr>
          <w:p>
            <w:pPr>
              <w:jc w:val="center"/>
            </w:pPr>
            <w:r>
              <w:t xml:space="preserve">2030 </w:t>
            </w:r>
          </w:p>
          <w:p w14:paraId="70ED898E" w14:textId="292C7A64" w:rsidR="008D24AA" w:rsidRDefault="008D24AA" w:rsidP="008D24AA">
            <w:pPr>
              <w:contextualSpacing/>
              <w:jc w:val="center"/>
              <w:cnfStyle w:val="100000000000" w:firstRow="1" w:lastRow="0" w:firstColumn="0" w:lastColumn="0" w:oddVBand="0" w:evenVBand="0" w:oddHBand="0" w:evenHBand="0" w:firstRowFirstColumn="0" w:firstRowLastColumn="0" w:lastRowFirstColumn="0" w:lastRowLastColumn="0"/>
              <w:rPr>
                <w:rFonts w:ascii="Californian FB" w:hAnsi="Californian FB"/>
                <w:bCs w:val="0"/>
                <w:color w:val="041330"/>
                <w:sz w:val="24"/>
                <w:szCs w:val="24"/>
              </w:rPr>
            </w:pPr>
            <w:r>
              <w:t>二千零三十</w:t>
            </w:r>
          </w:p>
          <w:p>
            <w:pPr>
              <w:jc w:val="center"/>
            </w:pPr>
            <w:r>
              <w:t>(in thousands)</w:t>
            </w:r>
          </w:p>
          <w:p w14:paraId="39A05031" w14:textId="63C30A9D" w:rsidR="00EA08E3" w:rsidRPr="00EE071F" w:rsidRDefault="008D24AA" w:rsidP="008D24AA">
            <w:pPr>
              <w:contextualSpacing/>
              <w:jc w:val="center"/>
              <w:cnfStyle w:val="100000000000" w:firstRow="1" w:lastRow="0" w:firstColumn="0" w:lastColumn="0" w:oddVBand="0" w:evenVBand="0" w:oddHBand="0" w:evenHBand="0" w:firstRowFirstColumn="0" w:firstRowLastColumn="0" w:lastRowFirstColumn="0" w:lastRowLastColumn="0"/>
              <w:rPr>
                <w:rFonts w:ascii="Californian FB" w:hAnsi="Californian FB"/>
                <w:b w:val="0"/>
                <w:color w:val="041330"/>
                <w:sz w:val="24"/>
                <w:szCs w:val="24"/>
              </w:rPr>
            </w:pPr>
            <w:r>
              <w:t>（数以千计）</w:t>
            </w:r>
          </w:p>
        </w:tc>
        <w:tc>
          <w:tcPr>
            <w:tcW w:w="151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vAlign w:val="center"/>
          </w:tcPr>
          <w:p>
            <w:pPr>
              <w:jc w:val="center"/>
            </w:pPr>
            <w:r>
              <w:t xml:space="preserve">2040 </w:t>
            </w:r>
          </w:p>
          <w:p w14:paraId="41574051" w14:textId="6E457983" w:rsidR="008D24AA" w:rsidRDefault="008D24AA" w:rsidP="008D24AA">
            <w:pPr>
              <w:contextualSpacing/>
              <w:jc w:val="center"/>
              <w:cnfStyle w:val="100000000000" w:firstRow="1" w:lastRow="0" w:firstColumn="0" w:lastColumn="0" w:oddVBand="0" w:evenVBand="0" w:oddHBand="0" w:evenHBand="0" w:firstRowFirstColumn="0" w:firstRowLastColumn="0" w:lastRowFirstColumn="0" w:lastRowLastColumn="0"/>
              <w:rPr>
                <w:rFonts w:ascii="Californian FB" w:hAnsi="Californian FB"/>
                <w:bCs w:val="0"/>
                <w:color w:val="041330"/>
                <w:sz w:val="24"/>
                <w:szCs w:val="24"/>
              </w:rPr>
            </w:pPr>
            <w:r>
              <w:t>二千零四十</w:t>
            </w:r>
          </w:p>
          <w:p>
            <w:pPr>
              <w:jc w:val="center"/>
            </w:pPr>
            <w:r>
              <w:t>(in thousands)</w:t>
            </w:r>
          </w:p>
          <w:p w14:paraId="56314A08" w14:textId="4B4B3E77" w:rsidR="00EA08E3" w:rsidRPr="00EE071F" w:rsidRDefault="008D24AA" w:rsidP="008D24AA">
            <w:pPr>
              <w:contextualSpacing/>
              <w:jc w:val="center"/>
              <w:cnfStyle w:val="100000000000" w:firstRow="1" w:lastRow="0" w:firstColumn="0" w:lastColumn="0" w:oddVBand="0" w:evenVBand="0" w:oddHBand="0" w:evenHBand="0" w:firstRowFirstColumn="0" w:firstRowLastColumn="0" w:lastRowFirstColumn="0" w:lastRowLastColumn="0"/>
              <w:rPr>
                <w:rFonts w:ascii="Californian FB" w:hAnsi="Californian FB"/>
                <w:b w:val="0"/>
                <w:color w:val="041330"/>
                <w:sz w:val="24"/>
                <w:szCs w:val="24"/>
              </w:rPr>
            </w:pPr>
            <w:r>
              <w:t>（数以千计）</w:t>
            </w:r>
          </w:p>
        </w:tc>
        <w:tc>
          <w:tcPr>
            <w:tcW w:w="151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tcPr>
          <w:p>
            <w:pPr>
              <w:jc w:val="center"/>
            </w:pPr>
            <w:r>
              <w:t xml:space="preserve">2050 </w:t>
            </w:r>
          </w:p>
          <w:p w14:paraId="72F5251D" w14:textId="64484883" w:rsidR="008D24AA" w:rsidRDefault="008D24AA" w:rsidP="008D24AA">
            <w:pPr>
              <w:contextualSpacing/>
              <w:jc w:val="center"/>
              <w:cnfStyle w:val="100000000000" w:firstRow="1" w:lastRow="0" w:firstColumn="0" w:lastColumn="0" w:oddVBand="0" w:evenVBand="0" w:oddHBand="0" w:evenHBand="0" w:firstRowFirstColumn="0" w:firstRowLastColumn="0" w:lastRowFirstColumn="0" w:lastRowLastColumn="0"/>
              <w:rPr>
                <w:rFonts w:ascii="Californian FB" w:hAnsi="Californian FB"/>
                <w:bCs w:val="0"/>
                <w:color w:val="041330"/>
                <w:sz w:val="24"/>
                <w:szCs w:val="24"/>
              </w:rPr>
            </w:pPr>
            <w:r>
              <w:t>二千零五十</w:t>
            </w:r>
          </w:p>
          <w:p>
            <w:pPr>
              <w:jc w:val="center"/>
            </w:pPr>
            <w:r>
              <w:t>(in thousands)</w:t>
            </w:r>
          </w:p>
          <w:p w14:paraId="3BF1F3C4" w14:textId="419DCB89" w:rsidR="00EA08E3" w:rsidRPr="00EE071F" w:rsidRDefault="008D24AA" w:rsidP="008D24AA">
            <w:pPr>
              <w:contextualSpacing/>
              <w:jc w:val="center"/>
              <w:cnfStyle w:val="100000000000" w:firstRow="1" w:lastRow="0" w:firstColumn="0" w:lastColumn="0" w:oddVBand="0" w:evenVBand="0" w:oddHBand="0" w:evenHBand="0" w:firstRowFirstColumn="0" w:firstRowLastColumn="0" w:lastRowFirstColumn="0" w:lastRowLastColumn="0"/>
              <w:rPr>
                <w:rFonts w:ascii="Californian FB" w:hAnsi="Californian FB"/>
                <w:b w:val="0"/>
                <w:color w:val="041330"/>
                <w:sz w:val="24"/>
                <w:szCs w:val="24"/>
              </w:rPr>
            </w:pPr>
            <w:r>
              <w:t>（数以千计）</w:t>
            </w:r>
          </w:p>
        </w:tc>
      </w:tr>
      <w:tr w:rsidR="00EA08E3" w:rsidRPr="003E733C" w14:paraId="53FCD3CA" w14:textId="77777777" w:rsidTr="00EA08E3">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60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tcPr>
          <w:p>
            <w:pPr>
              <w:jc w:val="center"/>
            </w:pPr>
            <w:r>
              <w:t>65+</w:t>
            </w:r>
          </w:p>
          <w:p w14:paraId="1CD21AEB" w14:textId="1F5CDD67" w:rsidR="00EA08E3" w:rsidRPr="00EE071F" w:rsidRDefault="00EE071F" w:rsidP="00EE071F">
            <w:pPr>
              <w:contextualSpacing/>
              <w:jc w:val="center"/>
              <w:rPr>
                <w:rFonts w:ascii="Californian FB" w:hAnsi="Californian FB"/>
                <w:b w:val="0"/>
                <w:color w:val="041330"/>
                <w:sz w:val="24"/>
                <w:szCs w:val="24"/>
              </w:rPr>
            </w:pPr>
            <w:r>
              <w:t>65 +</w:t>
            </w:r>
          </w:p>
        </w:tc>
        <w:tc>
          <w:tcPr>
            <w:tcW w:w="16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tcPr>
          <w:p>
            <w:pPr>
              <w:jc w:val="center"/>
            </w:pPr>
            <w:r>
              <w:t>40,229</w:t>
            </w:r>
          </w:p>
          <w:p w14:paraId="435F6F5B" w14:textId="5F364790" w:rsidR="00EA08E3" w:rsidRPr="00EE071F" w:rsidRDefault="00EE071F" w:rsidP="00EE071F">
            <w:pPr>
              <w:contextualSpacing/>
              <w:jc w:val="center"/>
              <w:cnfStyle w:val="000000100000" w:firstRow="0" w:lastRow="0" w:firstColumn="0" w:lastColumn="0" w:oddVBand="0" w:evenVBand="0" w:oddHBand="1" w:evenHBand="0" w:firstRowFirstColumn="0" w:firstRowLastColumn="0" w:lastRowFirstColumn="0" w:lastRowLastColumn="0"/>
              <w:rPr>
                <w:rFonts w:ascii="Californian FB" w:hAnsi="Californian FB"/>
                <w:color w:val="041330"/>
                <w:sz w:val="24"/>
                <w:szCs w:val="24"/>
              </w:rPr>
            </w:pPr>
            <w:r>
              <w:t>40,229</w:t>
            </w:r>
          </w:p>
        </w:tc>
        <w:tc>
          <w:tcPr>
            <w:tcW w:w="151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tcPr>
          <w:p>
            <w:pPr>
              <w:jc w:val="center"/>
            </w:pPr>
            <w:r>
              <w:t>54,804</w:t>
            </w:r>
          </w:p>
          <w:p w14:paraId="3F3FC290" w14:textId="03151AA4" w:rsidR="00EA08E3" w:rsidRPr="00EE071F" w:rsidRDefault="00EE071F" w:rsidP="00EE071F">
            <w:pPr>
              <w:contextualSpacing/>
              <w:jc w:val="center"/>
              <w:cnfStyle w:val="000000100000" w:firstRow="0" w:lastRow="0" w:firstColumn="0" w:lastColumn="0" w:oddVBand="0" w:evenVBand="0" w:oddHBand="1" w:evenHBand="0" w:firstRowFirstColumn="0" w:firstRowLastColumn="0" w:lastRowFirstColumn="0" w:lastRowLastColumn="0"/>
              <w:rPr>
                <w:rFonts w:ascii="Californian FB" w:hAnsi="Californian FB"/>
                <w:color w:val="041330"/>
                <w:sz w:val="24"/>
                <w:szCs w:val="24"/>
              </w:rPr>
            </w:pPr>
            <w:r>
              <w:t>54,804</w:t>
            </w:r>
          </w:p>
        </w:tc>
        <w:tc>
          <w:tcPr>
            <w:tcW w:w="151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tcPr>
          <w:p>
            <w:pPr>
              <w:jc w:val="center"/>
            </w:pPr>
            <w:r>
              <w:t>72,092</w:t>
            </w:r>
          </w:p>
          <w:p w14:paraId="0C17D340" w14:textId="2903EDAD" w:rsidR="00EA08E3" w:rsidRPr="00EE071F" w:rsidRDefault="00EE071F" w:rsidP="00EE071F">
            <w:pPr>
              <w:contextualSpacing/>
              <w:jc w:val="center"/>
              <w:cnfStyle w:val="000000100000" w:firstRow="0" w:lastRow="0" w:firstColumn="0" w:lastColumn="0" w:oddVBand="0" w:evenVBand="0" w:oddHBand="1" w:evenHBand="0" w:firstRowFirstColumn="0" w:firstRowLastColumn="0" w:lastRowFirstColumn="0" w:lastRowLastColumn="0"/>
              <w:rPr>
                <w:rFonts w:ascii="Californian FB" w:hAnsi="Californian FB"/>
                <w:color w:val="041330"/>
                <w:sz w:val="24"/>
                <w:szCs w:val="24"/>
              </w:rPr>
            </w:pPr>
            <w:r>
              <w:t>72,092</w:t>
            </w:r>
          </w:p>
        </w:tc>
        <w:tc>
          <w:tcPr>
            <w:tcW w:w="151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tcPr>
          <w:p>
            <w:pPr>
              <w:jc w:val="center"/>
            </w:pPr>
            <w:r>
              <w:t>81,238</w:t>
            </w:r>
          </w:p>
          <w:p w14:paraId="090FF5ED" w14:textId="5950C9C6" w:rsidR="00EA08E3" w:rsidRPr="00EE071F" w:rsidRDefault="00EE071F" w:rsidP="00EE071F">
            <w:pPr>
              <w:contextualSpacing/>
              <w:jc w:val="center"/>
              <w:cnfStyle w:val="000000100000" w:firstRow="0" w:lastRow="0" w:firstColumn="0" w:lastColumn="0" w:oddVBand="0" w:evenVBand="0" w:oddHBand="1" w:evenHBand="0" w:firstRowFirstColumn="0" w:firstRowLastColumn="0" w:lastRowFirstColumn="0" w:lastRowLastColumn="0"/>
              <w:rPr>
                <w:rFonts w:ascii="Californian FB" w:hAnsi="Californian FB"/>
                <w:color w:val="041330"/>
                <w:sz w:val="24"/>
                <w:szCs w:val="24"/>
              </w:rPr>
            </w:pPr>
            <w:r>
              <w:t>81,238</w:t>
            </w:r>
          </w:p>
        </w:tc>
        <w:tc>
          <w:tcPr>
            <w:tcW w:w="151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tcPr>
          <w:p>
            <w:pPr>
              <w:jc w:val="center"/>
            </w:pPr>
            <w:r>
              <w:t>88,547</w:t>
            </w:r>
          </w:p>
          <w:p w14:paraId="445A3700" w14:textId="4A5A8F5F" w:rsidR="00EA08E3" w:rsidRPr="00EE071F" w:rsidRDefault="00EE071F" w:rsidP="00EE071F">
            <w:pPr>
              <w:contextualSpacing/>
              <w:jc w:val="center"/>
              <w:cnfStyle w:val="000000100000" w:firstRow="0" w:lastRow="0" w:firstColumn="0" w:lastColumn="0" w:oddVBand="0" w:evenVBand="0" w:oddHBand="1" w:evenHBand="0" w:firstRowFirstColumn="0" w:firstRowLastColumn="0" w:lastRowFirstColumn="0" w:lastRowLastColumn="0"/>
              <w:rPr>
                <w:rFonts w:ascii="Californian FB" w:hAnsi="Californian FB"/>
                <w:color w:val="041330"/>
                <w:sz w:val="24"/>
                <w:szCs w:val="24"/>
              </w:rPr>
            </w:pPr>
            <w:r>
              <w:t>88,547</w:t>
            </w:r>
          </w:p>
        </w:tc>
      </w:tr>
      <w:tr w:rsidR="00EA08E3" w:rsidRPr="003E733C" w14:paraId="464C769F" w14:textId="77777777" w:rsidTr="00EA08E3">
        <w:trPr>
          <w:trHeight w:val="337"/>
        </w:trPr>
        <w:tc>
          <w:tcPr>
            <w:cnfStyle w:val="001000000000" w:firstRow="0" w:lastRow="0" w:firstColumn="1" w:lastColumn="0" w:oddVBand="0" w:evenVBand="0" w:oddHBand="0" w:evenHBand="0" w:firstRowFirstColumn="0" w:firstRowLastColumn="0" w:lastRowFirstColumn="0" w:lastRowLastColumn="0"/>
            <w:tcW w:w="160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vAlign w:val="center"/>
          </w:tcPr>
          <w:p>
            <w:pPr>
              <w:jc w:val="center"/>
            </w:pPr>
            <w:r>
              <w:t>85+</w:t>
            </w:r>
          </w:p>
          <w:p w14:paraId="68099A36" w14:textId="3092F9D8" w:rsidR="00EA08E3" w:rsidRPr="00EE071F" w:rsidRDefault="00EE071F" w:rsidP="00EE071F">
            <w:pPr>
              <w:contextualSpacing/>
              <w:jc w:val="center"/>
              <w:rPr>
                <w:rFonts w:ascii="Californian FB" w:hAnsi="Californian FB"/>
                <w:b w:val="0"/>
                <w:color w:val="041330"/>
                <w:sz w:val="24"/>
                <w:szCs w:val="24"/>
              </w:rPr>
            </w:pPr>
            <w:r>
              <w:t>85 +</w:t>
            </w:r>
          </w:p>
        </w:tc>
        <w:tc>
          <w:tcPr>
            <w:tcW w:w="16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tcPr>
          <w:p>
            <w:pPr>
              <w:jc w:val="center"/>
            </w:pPr>
            <w:r>
              <w:t>5,571</w:t>
            </w:r>
          </w:p>
          <w:p w14:paraId="536DF8F6" w14:textId="6165A08F" w:rsidR="00EA08E3" w:rsidRPr="00EE071F" w:rsidRDefault="00EE071F" w:rsidP="00EE071F">
            <w:pPr>
              <w:contextualSpacing/>
              <w:jc w:val="center"/>
              <w:cnfStyle w:val="000000000000" w:firstRow="0" w:lastRow="0" w:firstColumn="0" w:lastColumn="0" w:oddVBand="0" w:evenVBand="0" w:oddHBand="0" w:evenHBand="0" w:firstRowFirstColumn="0" w:firstRowLastColumn="0" w:lastRowFirstColumn="0" w:lastRowLastColumn="0"/>
              <w:rPr>
                <w:rFonts w:ascii="Californian FB" w:hAnsi="Californian FB"/>
                <w:color w:val="041330"/>
                <w:sz w:val="24"/>
                <w:szCs w:val="24"/>
              </w:rPr>
            </w:pPr>
            <w:r>
              <w:t>5,571</w:t>
            </w:r>
          </w:p>
        </w:tc>
        <w:tc>
          <w:tcPr>
            <w:tcW w:w="151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vAlign w:val="center"/>
          </w:tcPr>
          <w:p>
            <w:pPr>
              <w:jc w:val="center"/>
            </w:pPr>
            <w:r>
              <w:t>6,597</w:t>
            </w:r>
          </w:p>
          <w:p w14:paraId="3CF4CC0F" w14:textId="3587ECA1" w:rsidR="00EA08E3" w:rsidRPr="00EE071F" w:rsidRDefault="00EE071F" w:rsidP="00EE071F">
            <w:pPr>
              <w:contextualSpacing/>
              <w:jc w:val="center"/>
              <w:cnfStyle w:val="000000000000" w:firstRow="0" w:lastRow="0" w:firstColumn="0" w:lastColumn="0" w:oddVBand="0" w:evenVBand="0" w:oddHBand="0" w:evenHBand="0" w:firstRowFirstColumn="0" w:firstRowLastColumn="0" w:lastRowFirstColumn="0" w:lastRowLastColumn="0"/>
              <w:rPr>
                <w:rFonts w:ascii="Californian FB" w:hAnsi="Californian FB"/>
                <w:color w:val="041330"/>
                <w:sz w:val="24"/>
                <w:szCs w:val="24"/>
              </w:rPr>
            </w:pPr>
            <w:r>
              <w:t>6,597</w:t>
            </w:r>
          </w:p>
        </w:tc>
        <w:tc>
          <w:tcPr>
            <w:tcW w:w="151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tcPr>
          <w:p>
            <w:pPr>
              <w:jc w:val="center"/>
            </w:pPr>
            <w:r>
              <w:t>8,745</w:t>
            </w:r>
          </w:p>
          <w:p w14:paraId="16453B5C" w14:textId="5EF12D53" w:rsidR="00EA08E3" w:rsidRPr="00EE071F" w:rsidRDefault="00EE071F" w:rsidP="00EE071F">
            <w:pPr>
              <w:contextualSpacing/>
              <w:jc w:val="center"/>
              <w:cnfStyle w:val="000000000000" w:firstRow="0" w:lastRow="0" w:firstColumn="0" w:lastColumn="0" w:oddVBand="0" w:evenVBand="0" w:oddHBand="0" w:evenHBand="0" w:firstRowFirstColumn="0" w:firstRowLastColumn="0" w:lastRowFirstColumn="0" w:lastRowLastColumn="0"/>
              <w:rPr>
                <w:rFonts w:ascii="Californian FB" w:hAnsi="Californian FB"/>
                <w:color w:val="041330"/>
                <w:sz w:val="24"/>
                <w:szCs w:val="24"/>
              </w:rPr>
            </w:pPr>
            <w:r>
              <w:t>8,745</w:t>
            </w:r>
          </w:p>
        </w:tc>
        <w:tc>
          <w:tcPr>
            <w:tcW w:w="151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vAlign w:val="center"/>
          </w:tcPr>
          <w:p>
            <w:pPr>
              <w:jc w:val="center"/>
            </w:pPr>
            <w:r>
              <w:t>14,198</w:t>
            </w:r>
          </w:p>
          <w:p w14:paraId="7902FF13" w14:textId="75F7D602" w:rsidR="00EA08E3" w:rsidRPr="00EE071F" w:rsidRDefault="00EE071F" w:rsidP="00EE071F">
            <w:pPr>
              <w:contextualSpacing/>
              <w:jc w:val="center"/>
              <w:cnfStyle w:val="000000000000" w:firstRow="0" w:lastRow="0" w:firstColumn="0" w:lastColumn="0" w:oddVBand="0" w:evenVBand="0" w:oddHBand="0" w:evenHBand="0" w:firstRowFirstColumn="0" w:firstRowLastColumn="0" w:lastRowFirstColumn="0" w:lastRowLastColumn="0"/>
              <w:rPr>
                <w:rFonts w:ascii="Californian FB" w:hAnsi="Californian FB"/>
                <w:color w:val="041330"/>
                <w:sz w:val="24"/>
                <w:szCs w:val="24"/>
              </w:rPr>
            </w:pPr>
            <w:r>
              <w:t>14,198</w:t>
            </w:r>
          </w:p>
        </w:tc>
        <w:tc>
          <w:tcPr>
            <w:tcW w:w="151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tcPr>
          <w:p>
            <w:pPr>
              <w:jc w:val="center"/>
            </w:pPr>
            <w:r>
              <w:t>19,041</w:t>
            </w:r>
          </w:p>
          <w:p w14:paraId="03008720" w14:textId="7D8D9E89" w:rsidR="00EA08E3" w:rsidRPr="00EE071F" w:rsidRDefault="00EE071F" w:rsidP="00EE071F">
            <w:pPr>
              <w:contextualSpacing/>
              <w:jc w:val="center"/>
              <w:cnfStyle w:val="000000000000" w:firstRow="0" w:lastRow="0" w:firstColumn="0" w:lastColumn="0" w:oddVBand="0" w:evenVBand="0" w:oddHBand="0" w:evenHBand="0" w:firstRowFirstColumn="0" w:firstRowLastColumn="0" w:lastRowFirstColumn="0" w:lastRowLastColumn="0"/>
              <w:rPr>
                <w:rFonts w:ascii="Californian FB" w:hAnsi="Californian FB"/>
                <w:color w:val="041330"/>
                <w:sz w:val="24"/>
                <w:szCs w:val="24"/>
              </w:rPr>
            </w:pPr>
            <w:r>
              <w:t>19,041</w:t>
            </w:r>
          </w:p>
        </w:tc>
      </w:tr>
      <w:tr w:rsidR="00EA08E3" w:rsidRPr="003E733C" w14:paraId="3D469AC2" w14:textId="77777777" w:rsidTr="00EA08E3">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60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tcPr>
          <w:p>
            <w:pPr>
              <w:jc w:val="center"/>
            </w:pPr>
            <w:r>
              <w:t>100+</w:t>
            </w:r>
          </w:p>
          <w:p w14:paraId="15C4B8B9" w14:textId="1A924D2B" w:rsidR="00EA08E3" w:rsidRPr="00EE071F" w:rsidRDefault="00EE071F" w:rsidP="00EE071F">
            <w:pPr>
              <w:contextualSpacing/>
              <w:jc w:val="center"/>
              <w:rPr>
                <w:rFonts w:ascii="Californian FB" w:hAnsi="Californian FB"/>
                <w:b w:val="0"/>
                <w:color w:val="041330"/>
                <w:sz w:val="24"/>
                <w:szCs w:val="24"/>
              </w:rPr>
            </w:pPr>
            <w:r>
              <w:t>100 +</w:t>
            </w:r>
          </w:p>
        </w:tc>
        <w:tc>
          <w:tcPr>
            <w:tcW w:w="16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tcPr>
          <w:p>
            <w:pPr>
              <w:jc w:val="center"/>
            </w:pPr>
            <w:r>
              <w:t>79</w:t>
            </w:r>
          </w:p>
          <w:p w14:paraId="36EF41B0" w14:textId="6E63D2EC" w:rsidR="00EA08E3" w:rsidRPr="00EE071F" w:rsidRDefault="00EE071F" w:rsidP="00EE071F">
            <w:pPr>
              <w:contextualSpacing/>
              <w:jc w:val="center"/>
              <w:cnfStyle w:val="000000100000" w:firstRow="0" w:lastRow="0" w:firstColumn="0" w:lastColumn="0" w:oddVBand="0" w:evenVBand="0" w:oddHBand="1" w:evenHBand="0" w:firstRowFirstColumn="0" w:firstRowLastColumn="0" w:lastRowFirstColumn="0" w:lastRowLastColumn="0"/>
              <w:rPr>
                <w:rFonts w:ascii="Californian FB" w:hAnsi="Californian FB"/>
                <w:color w:val="041330"/>
                <w:sz w:val="24"/>
                <w:szCs w:val="24"/>
              </w:rPr>
            </w:pPr>
            <w:r>
              <w:t>79</w:t>
            </w:r>
          </w:p>
        </w:tc>
        <w:tc>
          <w:tcPr>
            <w:tcW w:w="151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tcPr>
          <w:p>
            <w:pPr>
              <w:jc w:val="center"/>
            </w:pPr>
            <w:r>
              <w:t>105</w:t>
            </w:r>
          </w:p>
          <w:p w14:paraId="13B7C46C" w14:textId="5A6D46CB" w:rsidR="00EA08E3" w:rsidRPr="00EE071F" w:rsidRDefault="00EE071F" w:rsidP="00EE071F">
            <w:pPr>
              <w:contextualSpacing/>
              <w:jc w:val="center"/>
              <w:cnfStyle w:val="000000100000" w:firstRow="0" w:lastRow="0" w:firstColumn="0" w:lastColumn="0" w:oddVBand="0" w:evenVBand="0" w:oddHBand="1" w:evenHBand="0" w:firstRowFirstColumn="0" w:firstRowLastColumn="0" w:lastRowFirstColumn="0" w:lastRowLastColumn="0"/>
              <w:rPr>
                <w:rFonts w:ascii="Californian FB" w:hAnsi="Californian FB"/>
                <w:color w:val="041330"/>
                <w:sz w:val="24"/>
                <w:szCs w:val="24"/>
              </w:rPr>
            </w:pPr>
            <w:r>
              <w:t>105</w:t>
            </w:r>
          </w:p>
        </w:tc>
        <w:tc>
          <w:tcPr>
            <w:tcW w:w="151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tcPr>
          <w:p>
            <w:pPr>
              <w:jc w:val="center"/>
            </w:pPr>
            <w:r>
              <w:t>208</w:t>
            </w:r>
          </w:p>
          <w:p w14:paraId="0BF721A7" w14:textId="102709E9" w:rsidR="00EA08E3" w:rsidRPr="00EE071F" w:rsidRDefault="00EE071F" w:rsidP="00EE071F">
            <w:pPr>
              <w:contextualSpacing/>
              <w:jc w:val="center"/>
              <w:cnfStyle w:val="000000100000" w:firstRow="0" w:lastRow="0" w:firstColumn="0" w:lastColumn="0" w:oddVBand="0" w:evenVBand="0" w:oddHBand="1" w:evenHBand="0" w:firstRowFirstColumn="0" w:firstRowLastColumn="0" w:lastRowFirstColumn="0" w:lastRowLastColumn="0"/>
              <w:rPr>
                <w:rFonts w:ascii="Californian FB" w:hAnsi="Californian FB"/>
                <w:color w:val="041330"/>
                <w:sz w:val="24"/>
                <w:szCs w:val="24"/>
              </w:rPr>
            </w:pPr>
            <w:r>
              <w:t>208</w:t>
            </w:r>
          </w:p>
        </w:tc>
        <w:tc>
          <w:tcPr>
            <w:tcW w:w="151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tcPr>
          <w:p>
            <w:pPr>
              <w:jc w:val="center"/>
            </w:pPr>
            <w:r>
              <w:t>298</w:t>
            </w:r>
          </w:p>
          <w:p w14:paraId="22D2C2E9" w14:textId="5F6F58F0" w:rsidR="00EA08E3" w:rsidRPr="00EE071F" w:rsidRDefault="00EE071F" w:rsidP="00EE071F">
            <w:pPr>
              <w:contextualSpacing/>
              <w:jc w:val="center"/>
              <w:cnfStyle w:val="000000100000" w:firstRow="0" w:lastRow="0" w:firstColumn="0" w:lastColumn="0" w:oddVBand="0" w:evenVBand="0" w:oddHBand="1" w:evenHBand="0" w:firstRowFirstColumn="0" w:firstRowLastColumn="0" w:lastRowFirstColumn="0" w:lastRowLastColumn="0"/>
              <w:rPr>
                <w:rFonts w:ascii="Californian FB" w:hAnsi="Californian FB"/>
                <w:color w:val="041330"/>
                <w:sz w:val="24"/>
                <w:szCs w:val="24"/>
              </w:rPr>
            </w:pPr>
            <w:r>
              <w:t>298</w:t>
            </w:r>
          </w:p>
        </w:tc>
        <w:tc>
          <w:tcPr>
            <w:tcW w:w="151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tcPr>
          <w:p>
            <w:pPr>
              <w:jc w:val="center"/>
            </w:pPr>
            <w:r>
              <w:t>601</w:t>
            </w:r>
          </w:p>
          <w:p w14:paraId="0A8C23D0" w14:textId="75974B18" w:rsidR="00EA08E3" w:rsidRPr="00EE071F" w:rsidRDefault="00EE071F" w:rsidP="00EE071F">
            <w:pPr>
              <w:contextualSpacing/>
              <w:jc w:val="center"/>
              <w:cnfStyle w:val="000000100000" w:firstRow="0" w:lastRow="0" w:firstColumn="0" w:lastColumn="0" w:oddVBand="0" w:evenVBand="0" w:oddHBand="1" w:evenHBand="0" w:firstRowFirstColumn="0" w:firstRowLastColumn="0" w:lastRowFirstColumn="0" w:lastRowLastColumn="0"/>
              <w:rPr>
                <w:rFonts w:ascii="Californian FB" w:hAnsi="Californian FB"/>
                <w:color w:val="041330"/>
                <w:sz w:val="24"/>
                <w:szCs w:val="24"/>
              </w:rPr>
            </w:pPr>
            <w:r>
              <w:t>601</w:t>
            </w:r>
          </w:p>
        </w:tc>
      </w:tr>
      <w:tr w:rsidR="00EA08E3" w:rsidRPr="003E733C" w14:paraId="645E1DFA" w14:textId="77777777" w:rsidTr="00EA08E3">
        <w:trPr>
          <w:trHeight w:val="321"/>
        </w:trPr>
        <w:tc>
          <w:tcPr>
            <w:cnfStyle w:val="001000000000" w:firstRow="0" w:lastRow="0" w:firstColumn="1" w:lastColumn="0" w:oddVBand="0" w:evenVBand="0" w:oddHBand="0" w:evenHBand="0" w:firstRowFirstColumn="0" w:firstRowLastColumn="0" w:lastRowFirstColumn="0" w:lastRowLastColumn="0"/>
            <w:tcW w:w="160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vAlign w:val="center"/>
          </w:tcPr>
          <w:p>
            <w:pPr>
              <w:jc w:val="center"/>
            </w:pPr>
            <w:r>
              <w:t>Total</w:t>
            </w:r>
          </w:p>
          <w:p w14:paraId="55CFCBD6" w14:textId="705E97CF" w:rsidR="00EA08E3" w:rsidRPr="000A2480" w:rsidRDefault="00EE071F" w:rsidP="00EE071F">
            <w:pPr>
              <w:contextualSpacing/>
              <w:jc w:val="center"/>
              <w:rPr>
                <w:rFonts w:ascii="Californian FB" w:hAnsi="Californian FB"/>
                <w:color w:val="041330"/>
                <w:sz w:val="24"/>
                <w:szCs w:val="24"/>
              </w:rPr>
            </w:pPr>
            <w:r>
              <w:t>合计</w:t>
            </w:r>
          </w:p>
        </w:tc>
        <w:tc>
          <w:tcPr>
            <w:tcW w:w="16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tcPr>
          <w:p>
            <w:pPr>
              <w:jc w:val="center"/>
            </w:pPr>
            <w:r>
              <w:t>46,059</w:t>
            </w:r>
          </w:p>
          <w:p w14:paraId="1FCBB692" w14:textId="623F9D96" w:rsidR="00EA08E3" w:rsidRPr="000A2480" w:rsidRDefault="00EE071F" w:rsidP="00EE071F">
            <w:pPr>
              <w:contextualSpacing/>
              <w:jc w:val="center"/>
              <w:cnfStyle w:val="000000000000" w:firstRow="0" w:lastRow="0" w:firstColumn="0" w:lastColumn="0" w:oddVBand="0" w:evenVBand="0" w:oddHBand="0" w:evenHBand="0" w:firstRowFirstColumn="0" w:firstRowLastColumn="0" w:lastRowFirstColumn="0" w:lastRowLastColumn="0"/>
              <w:rPr>
                <w:rFonts w:ascii="Californian FB" w:hAnsi="Californian FB"/>
                <w:b/>
                <w:color w:val="041330"/>
                <w:sz w:val="24"/>
                <w:szCs w:val="24"/>
              </w:rPr>
            </w:pPr>
            <w:r>
              <w:t>46,059</w:t>
            </w:r>
          </w:p>
        </w:tc>
        <w:tc>
          <w:tcPr>
            <w:tcW w:w="151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vAlign w:val="center"/>
          </w:tcPr>
          <w:p>
            <w:pPr>
              <w:jc w:val="center"/>
            </w:pPr>
            <w:r>
              <w:t>61,536</w:t>
            </w:r>
          </w:p>
          <w:p w14:paraId="6527D31B" w14:textId="2BAD26E5" w:rsidR="00EA08E3" w:rsidRPr="000A2480" w:rsidRDefault="00EE071F" w:rsidP="00EE071F">
            <w:pPr>
              <w:contextualSpacing/>
              <w:jc w:val="center"/>
              <w:cnfStyle w:val="000000000000" w:firstRow="0" w:lastRow="0" w:firstColumn="0" w:lastColumn="0" w:oddVBand="0" w:evenVBand="0" w:oddHBand="0" w:evenHBand="0" w:firstRowFirstColumn="0" w:firstRowLastColumn="0" w:lastRowFirstColumn="0" w:lastRowLastColumn="0"/>
              <w:rPr>
                <w:rFonts w:ascii="Californian FB" w:hAnsi="Californian FB"/>
                <w:b/>
                <w:color w:val="041330"/>
                <w:sz w:val="24"/>
                <w:szCs w:val="24"/>
              </w:rPr>
            </w:pPr>
            <w:r>
              <w:t>61,536</w:t>
            </w:r>
          </w:p>
        </w:tc>
        <w:tc>
          <w:tcPr>
            <w:tcW w:w="151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tcPr>
          <w:p>
            <w:pPr>
              <w:jc w:val="center"/>
            </w:pPr>
            <w:r>
              <w:t>81,045</w:t>
            </w:r>
          </w:p>
          <w:p w14:paraId="43DAAB5E" w14:textId="7D0B21F6" w:rsidR="00EA08E3" w:rsidRPr="000A2480" w:rsidRDefault="00EE071F" w:rsidP="00EE071F">
            <w:pPr>
              <w:contextualSpacing/>
              <w:jc w:val="center"/>
              <w:cnfStyle w:val="000000000000" w:firstRow="0" w:lastRow="0" w:firstColumn="0" w:lastColumn="0" w:oddVBand="0" w:evenVBand="0" w:oddHBand="0" w:evenHBand="0" w:firstRowFirstColumn="0" w:firstRowLastColumn="0" w:lastRowFirstColumn="0" w:lastRowLastColumn="0"/>
              <w:rPr>
                <w:rFonts w:ascii="Californian FB" w:hAnsi="Californian FB"/>
                <w:b/>
                <w:color w:val="041330"/>
                <w:sz w:val="24"/>
                <w:szCs w:val="24"/>
              </w:rPr>
            </w:pPr>
            <w:r>
              <w:t>81,045</w:t>
            </w:r>
          </w:p>
        </w:tc>
        <w:tc>
          <w:tcPr>
            <w:tcW w:w="151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vAlign w:val="center"/>
          </w:tcPr>
          <w:p>
            <w:pPr>
              <w:jc w:val="center"/>
            </w:pPr>
            <w:r>
              <w:t>95,734</w:t>
            </w:r>
          </w:p>
          <w:p w14:paraId="36ED18F4" w14:textId="73B1AE34" w:rsidR="00EA08E3" w:rsidRPr="000A2480" w:rsidRDefault="00EE071F" w:rsidP="00EE071F">
            <w:pPr>
              <w:contextualSpacing/>
              <w:jc w:val="center"/>
              <w:cnfStyle w:val="000000000000" w:firstRow="0" w:lastRow="0" w:firstColumn="0" w:lastColumn="0" w:oddVBand="0" w:evenVBand="0" w:oddHBand="0" w:evenHBand="0" w:firstRowFirstColumn="0" w:firstRowLastColumn="0" w:lastRowFirstColumn="0" w:lastRowLastColumn="0"/>
              <w:rPr>
                <w:rFonts w:ascii="Californian FB" w:hAnsi="Californian FB"/>
                <w:b/>
                <w:color w:val="041330"/>
                <w:sz w:val="24"/>
                <w:szCs w:val="24"/>
              </w:rPr>
            </w:pPr>
            <w:r>
              <w:t>95,734</w:t>
            </w:r>
          </w:p>
        </w:tc>
        <w:tc>
          <w:tcPr>
            <w:tcW w:w="151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tcPr>
          <w:p>
            <w:pPr>
              <w:jc w:val="center"/>
            </w:pPr>
            <w:r>
              <w:t>108,189</w:t>
            </w:r>
          </w:p>
          <w:p w14:paraId="40E32062" w14:textId="00130075" w:rsidR="00EA08E3" w:rsidRPr="000A2480" w:rsidRDefault="00EE071F" w:rsidP="00EE071F">
            <w:pPr>
              <w:contextualSpacing/>
              <w:jc w:val="center"/>
              <w:cnfStyle w:val="000000000000" w:firstRow="0" w:lastRow="0" w:firstColumn="0" w:lastColumn="0" w:oddVBand="0" w:evenVBand="0" w:oddHBand="0" w:evenHBand="0" w:firstRowFirstColumn="0" w:firstRowLastColumn="0" w:lastRowFirstColumn="0" w:lastRowLastColumn="0"/>
              <w:rPr>
                <w:rFonts w:ascii="Californian FB" w:hAnsi="Californian FB"/>
                <w:b/>
                <w:color w:val="041330"/>
                <w:sz w:val="24"/>
                <w:szCs w:val="24"/>
              </w:rPr>
            </w:pPr>
            <w:r>
              <w:t>108,189</w:t>
            </w:r>
          </w:p>
        </w:tc>
      </w:tr>
    </w:tbl>
    <w:p w14:paraId="7FD0CE91" w14:textId="567566F5" w:rsidR="00EA08E3" w:rsidRDefault="00EA08E3" w:rsidP="00947866">
      <w:pPr>
        <w:shd w:val="clear" w:color="auto" w:fill="FFFFFF"/>
        <w:spacing w:after="0" w:line="240" w:lineRule="auto"/>
        <w:jc w:val="both"/>
        <w:rPr>
          <w:rFonts w:ascii="Californian FB" w:eastAsia="Times New Roman" w:hAnsi="Californian FB" w:cs="Arial"/>
          <w:color w:val="041330"/>
          <w:sz w:val="24"/>
          <w:szCs w:val="24"/>
        </w:rPr>
      </w:pPr>
    </w:p>
    <w:p>
      <w:pPr>
        <w:jc w:val="both"/>
      </w:pPr>
    </w:p>
    <w:p w14:paraId="70FBAD87" w14:textId="77777777" w:rsidR="00100A6A" w:rsidRDefault="00100A6A" w:rsidP="00947866">
      <w:pPr>
        <w:shd w:val="clear" w:color="auto" w:fill="FFFFFF"/>
        <w:spacing w:after="0" w:line="240" w:lineRule="auto"/>
        <w:jc w:val="both"/>
        <w:rPr>
          <w:rFonts w:ascii="Californian FB" w:eastAsia="Times New Roman" w:hAnsi="Californian FB" w:cs="Arial"/>
          <w:color w:val="041330"/>
          <w:sz w:val="24"/>
          <w:szCs w:val="24"/>
        </w:rPr>
      </w:pPr>
      <w:r/>
    </w:p>
    <w:p>
      <w:pPr>
        <w:jc w:val="both"/>
      </w:pPr>
    </w:p>
    <w:p w14:paraId="62DC9203" w14:textId="0B71F147" w:rsidR="004F7433" w:rsidRDefault="007713CA" w:rsidP="00947866">
      <w:pPr>
        <w:shd w:val="clear" w:color="auto" w:fill="FFFFFF"/>
        <w:spacing w:after="0" w:line="240" w:lineRule="auto"/>
        <w:jc w:val="both"/>
        <w:rPr>
          <w:rFonts w:ascii="Californian FB" w:eastAsia="Times New Roman" w:hAnsi="Californian FB" w:cs="Arial"/>
          <w:color w:val="041330"/>
          <w:sz w:val="24"/>
          <w:szCs w:val="24"/>
        </w:rPr>
      </w:pPr>
      <w:r>
        <w:t xml:space="preserve">Additionally, the companies that provide home healthcare services are only just beginning to discover franchising as a method for growth. Of the current businesses, only 17% are franchises. Since the year 2000, the number of franchise brands that are in this sector has quadrupled to over 3,000 franchised businesses, representing a clear growth path for companies with the right strategy, team, and financing to capture the franchising opportunity. </w:t>
      </w:r>
    </w:p>
    <w:p>
      <w:pPr>
        <w:jc w:val="both"/>
      </w:pPr>
      <w:r>
        <w:t>此外，提供家庭医疗服务的公司才刚刚开始发现特许经营是一种增长的方法。在目前的业务中，只有17%是特许经营。自2000年以来，该行业的特许经营品牌数量翻了两番，达到3000多家特许经营企业，这对于拥有正确战略、团队和融资以抓住特许经营机会的公司来说是一条清晰的增长道路。</w:t>
      </w:r>
    </w:p>
    <w:p w14:paraId="3EEA52EB" w14:textId="13A9E882" w:rsidR="003F5193" w:rsidRDefault="003F5193" w:rsidP="00947866">
      <w:pPr>
        <w:shd w:val="clear" w:color="auto" w:fill="FFFFFF"/>
        <w:spacing w:after="0" w:line="240" w:lineRule="auto"/>
        <w:jc w:val="both"/>
        <w:rPr>
          <w:rFonts w:ascii="Californian FB" w:eastAsia="Times New Roman" w:hAnsi="Californian FB" w:cs="Arial"/>
          <w:color w:val="041330"/>
          <w:sz w:val="24"/>
          <w:szCs w:val="24"/>
        </w:rPr>
      </w:pPr>
      <w:r/>
    </w:p>
    <w:p>
      <w:pPr>
        <w:jc w:val="both"/>
      </w:pPr>
    </w:p>
    <w:p w14:paraId="78497221" w14:textId="77777777" w:rsidR="00100A6A" w:rsidRPr="003E733C" w:rsidRDefault="00100A6A" w:rsidP="00947866">
      <w:pPr>
        <w:shd w:val="clear" w:color="auto" w:fill="FFFFFF"/>
        <w:spacing w:after="0" w:line="240" w:lineRule="auto"/>
        <w:jc w:val="both"/>
        <w:rPr>
          <w:rFonts w:ascii="Californian FB" w:eastAsia="Times New Roman" w:hAnsi="Californian FB" w:cs="Arial"/>
          <w:color w:val="041330"/>
          <w:sz w:val="24"/>
          <w:szCs w:val="24"/>
        </w:rPr>
      </w:pPr>
      <w:r/>
    </w:p>
    <w:p>
      <w:pPr>
        <w:jc w:val="both"/>
      </w:pPr>
    </w:p>
    <w:p w14:paraId="47789C08" w14:textId="502D0743" w:rsidR="00FE6E28" w:rsidRPr="003E733C" w:rsidRDefault="00FE6E28" w:rsidP="00FE6E28">
      <w:pPr>
        <w:shd w:val="clear" w:color="auto" w:fill="FFFFFF"/>
        <w:spacing w:after="0" w:line="240" w:lineRule="auto"/>
        <w:jc w:val="both"/>
        <w:rPr>
          <w:rFonts w:ascii="Californian FB" w:eastAsia="Times New Roman" w:hAnsi="Californian FB" w:cs="Arial"/>
          <w:color w:val="041330"/>
          <w:sz w:val="24"/>
          <w:szCs w:val="24"/>
        </w:rPr>
      </w:pPr>
      <w:r>
        <w:t>Financial Highlights:</w:t>
      </w:r>
    </w:p>
    <w:p>
      <w:pPr>
        <w:jc w:val="both"/>
      </w:pPr>
      <w:r>
        <w:t>财务亮点：</w:t>
      </w:r>
    </w:p>
    <w:p w14:paraId="7906C867" w14:textId="6A7C7F70" w:rsidR="00FE6E28" w:rsidRDefault="00FE6E28" w:rsidP="00FE6E28">
      <w:pPr>
        <w:shd w:val="clear" w:color="auto" w:fill="FFFFFF"/>
        <w:spacing w:after="0" w:line="240" w:lineRule="auto"/>
        <w:jc w:val="both"/>
        <w:rPr>
          <w:rFonts w:ascii="Californian FB" w:eastAsia="Times New Roman" w:hAnsi="Californian FB" w:cs="Arial"/>
          <w:color w:val="041330"/>
          <w:sz w:val="24"/>
          <w:szCs w:val="24"/>
        </w:rPr>
      </w:pPr>
      <w:r/>
    </w:p>
    <w:tbl>
      <w:tblPr>
        <w:tblStyle w:val="GridTable6Colorful-Accent1"/>
        <w:tblW w:w="0" w:type="auto"/>
        <w:tblBorders>
          <w:insideH w:val="single" w:sz="4" w:space="0" w:color="auto"/>
          <w:insideV w:val="single" w:sz="4" w:space="0" w:color="auto"/>
        </w:tblBorders>
        <w:tblLook w:val="04A0" w:firstRow="1" w:lastRow="0" w:firstColumn="1" w:lastColumn="0" w:noHBand="0" w:noVBand="1"/>
      </w:tblPr>
      <w:tblGrid>
        <w:gridCol w:w="2141"/>
        <w:gridCol w:w="1241"/>
        <w:gridCol w:w="1297"/>
        <w:gridCol w:w="1169"/>
        <w:gridCol w:w="1169"/>
        <w:gridCol w:w="1169"/>
        <w:gridCol w:w="1169"/>
      </w:tblGrid>
      <w:tr w:rsidR="00361236" w:rsidRPr="003E733C" w14:paraId="0F2C4881" w14:textId="78FF7F48" w:rsidTr="00541BEE">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2141" w:type="dxa"/>
            <w:tcBorders>
              <w:top w:val="nil"/>
              <w:left w:val="nil"/>
              <w:bottom w:val="single" w:sz="4" w:space="0" w:color="A5A5A5" w:themeColor="accent3"/>
              <w:right w:val="single" w:sz="4" w:space="0" w:color="A5A5A5" w:themeColor="accent3"/>
            </w:tcBorders>
            <w:shd w:val="clear" w:color="auto" w:fill="auto"/>
            <w:vAlign w:val="center"/>
          </w:tcPr>
          <w:p>
            <w:pPr/>
          </w:p>
          <w:p w14:paraId="0F2ED5AA" w14:textId="2ACB9254" w:rsidR="00361236" w:rsidRPr="003E733C" w:rsidRDefault="00361236" w:rsidP="00361236">
            <w:pPr>
              <w:contextualSpacing/>
              <w:rPr>
                <w:rFonts w:ascii="Californian FB" w:hAnsi="Californian FB"/>
                <w:b w:val="0"/>
                <w:color w:val="041330"/>
                <w:sz w:val="24"/>
                <w:szCs w:val="24"/>
              </w:rPr>
            </w:pPr>
            <w:r/>
          </w:p>
        </w:tc>
        <w:tc>
          <w:tcPr>
            <w:tcW w:w="12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vAlign w:val="center"/>
          </w:tcPr>
          <w:p>
            <w:pPr>
              <w:jc w:val="center"/>
            </w:pPr>
            <w:r>
              <w:t>2016</w:t>
            </w:r>
          </w:p>
          <w:p w14:paraId="47382B36" w14:textId="77777777" w:rsidR="00361236" w:rsidRDefault="00361236" w:rsidP="00361236">
            <w:pPr>
              <w:contextualSpacing/>
              <w:jc w:val="center"/>
              <w:cnfStyle w:val="100000000000" w:firstRow="1" w:lastRow="0" w:firstColumn="0" w:lastColumn="0" w:oddVBand="0" w:evenVBand="0" w:oddHBand="0" w:evenHBand="0" w:firstRowFirstColumn="0" w:firstRowLastColumn="0" w:lastRowFirstColumn="0" w:lastRowLastColumn="0"/>
              <w:rPr>
                <w:rFonts w:ascii="Californian FB" w:hAnsi="Californian FB"/>
                <w:bCs w:val="0"/>
                <w:color w:val="041330"/>
                <w:sz w:val="24"/>
                <w:szCs w:val="24"/>
              </w:rPr>
            </w:pPr>
            <w:r>
              <w:t>2016</w:t>
            </w:r>
          </w:p>
          <w:p>
            <w:pPr>
              <w:jc w:val="center"/>
            </w:pPr>
            <w:r>
              <w:t>(millions)</w:t>
            </w:r>
          </w:p>
          <w:p w14:paraId="12C79F05" w14:textId="50DE8BF6" w:rsidR="00CF45E5" w:rsidRPr="003E733C" w:rsidRDefault="00CF45E5" w:rsidP="00361236">
            <w:pPr>
              <w:contextualSpacing/>
              <w:jc w:val="center"/>
              <w:cnfStyle w:val="100000000000" w:firstRow="1" w:lastRow="0" w:firstColumn="0" w:lastColumn="0" w:oddVBand="0" w:evenVBand="0" w:oddHBand="0" w:evenHBand="0" w:firstRowFirstColumn="0" w:firstRowLastColumn="0" w:lastRowFirstColumn="0" w:lastRowLastColumn="0"/>
              <w:rPr>
                <w:rFonts w:ascii="Californian FB" w:hAnsi="Californian FB"/>
                <w:b w:val="0"/>
                <w:color w:val="041330"/>
                <w:sz w:val="24"/>
                <w:szCs w:val="24"/>
              </w:rPr>
            </w:pPr>
            <w:r>
              <w:t>（百万）</w:t>
            </w:r>
          </w:p>
        </w:tc>
        <w:tc>
          <w:tcPr>
            <w:tcW w:w="129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tcPr>
          <w:p>
            <w:pPr>
              <w:jc w:val="center"/>
            </w:pPr>
            <w:r>
              <w:t>YoY Growth</w:t>
            </w:r>
          </w:p>
          <w:p w14:paraId="76F975E5" w14:textId="234749EE" w:rsidR="00361236" w:rsidRDefault="00361236" w:rsidP="00361236">
            <w:pPr>
              <w:contextualSpacing/>
              <w:jc w:val="center"/>
              <w:cnfStyle w:val="100000000000" w:firstRow="1" w:lastRow="0" w:firstColumn="0" w:lastColumn="0" w:oddVBand="0" w:evenVBand="0" w:oddHBand="0" w:evenHBand="0" w:firstRowFirstColumn="0" w:firstRowLastColumn="0" w:lastRowFirstColumn="0" w:lastRowLastColumn="0"/>
              <w:rPr>
                <w:rFonts w:ascii="Californian FB" w:hAnsi="Californian FB"/>
                <w:b w:val="0"/>
                <w:color w:val="041330"/>
                <w:sz w:val="24"/>
                <w:szCs w:val="24"/>
              </w:rPr>
            </w:pPr>
            <w:r>
              <w:t>同比增长</w:t>
            </w:r>
          </w:p>
        </w:tc>
        <w:tc>
          <w:tcPr>
            <w:tcW w:w="1169"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vAlign w:val="center"/>
          </w:tcPr>
          <w:p>
            <w:pPr>
              <w:jc w:val="center"/>
            </w:pPr>
            <w:r>
              <w:t>2017</w:t>
            </w:r>
          </w:p>
          <w:p w14:paraId="42E1C11F" w14:textId="77777777" w:rsidR="00361236" w:rsidRDefault="00361236" w:rsidP="00361236">
            <w:pPr>
              <w:contextualSpacing/>
              <w:jc w:val="center"/>
              <w:cnfStyle w:val="100000000000" w:firstRow="1" w:lastRow="0" w:firstColumn="0" w:lastColumn="0" w:oddVBand="0" w:evenVBand="0" w:oddHBand="0" w:evenHBand="0" w:firstRowFirstColumn="0" w:firstRowLastColumn="0" w:lastRowFirstColumn="0" w:lastRowLastColumn="0"/>
              <w:rPr>
                <w:rFonts w:ascii="Californian FB" w:hAnsi="Californian FB"/>
                <w:bCs w:val="0"/>
                <w:color w:val="041330"/>
                <w:sz w:val="24"/>
                <w:szCs w:val="24"/>
              </w:rPr>
            </w:pPr>
            <w:r>
              <w:t>2017</w:t>
            </w:r>
          </w:p>
          <w:p>
            <w:pPr>
              <w:jc w:val="center"/>
            </w:pPr>
            <w:r>
              <w:t>(millions)</w:t>
            </w:r>
          </w:p>
          <w:p w14:paraId="5F96DDCD" w14:textId="69BA9D86" w:rsidR="00CF45E5" w:rsidRDefault="00CF45E5" w:rsidP="00361236">
            <w:pPr>
              <w:contextualSpacing/>
              <w:jc w:val="center"/>
              <w:cnfStyle w:val="100000000000" w:firstRow="1" w:lastRow="0" w:firstColumn="0" w:lastColumn="0" w:oddVBand="0" w:evenVBand="0" w:oddHBand="0" w:evenHBand="0" w:firstRowFirstColumn="0" w:firstRowLastColumn="0" w:lastRowFirstColumn="0" w:lastRowLastColumn="0"/>
              <w:rPr>
                <w:rFonts w:ascii="Californian FB" w:hAnsi="Californian FB"/>
                <w:b w:val="0"/>
                <w:color w:val="041330"/>
                <w:sz w:val="24"/>
                <w:szCs w:val="24"/>
              </w:rPr>
            </w:pPr>
            <w:r>
              <w:t>（百万）</w:t>
            </w:r>
          </w:p>
        </w:tc>
        <w:tc>
          <w:tcPr>
            <w:tcW w:w="1169"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tcPr>
          <w:p>
            <w:pPr>
              <w:jc w:val="center"/>
            </w:pPr>
            <w:r>
              <w:t>YoY Growth</w:t>
            </w:r>
          </w:p>
          <w:p w14:paraId="39C7F024" w14:textId="27C2F8BF" w:rsidR="00361236" w:rsidRDefault="00361236" w:rsidP="00361236">
            <w:pPr>
              <w:contextualSpacing/>
              <w:jc w:val="center"/>
              <w:cnfStyle w:val="100000000000" w:firstRow="1" w:lastRow="0" w:firstColumn="0" w:lastColumn="0" w:oddVBand="0" w:evenVBand="0" w:oddHBand="0" w:evenHBand="0" w:firstRowFirstColumn="0" w:firstRowLastColumn="0" w:lastRowFirstColumn="0" w:lastRowLastColumn="0"/>
              <w:rPr>
                <w:rFonts w:ascii="Californian FB" w:hAnsi="Californian FB"/>
                <w:b w:val="0"/>
                <w:color w:val="041330"/>
                <w:sz w:val="24"/>
                <w:szCs w:val="24"/>
              </w:rPr>
            </w:pPr>
            <w:r>
              <w:t>同比增长</w:t>
            </w:r>
          </w:p>
        </w:tc>
        <w:tc>
          <w:tcPr>
            <w:tcW w:w="1169"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vAlign w:val="center"/>
          </w:tcPr>
          <w:p>
            <w:pPr>
              <w:jc w:val="center"/>
            </w:pPr>
            <w:r>
              <w:t>2018</w:t>
            </w:r>
          </w:p>
          <w:p w14:paraId="2FDA94A2" w14:textId="77777777" w:rsidR="00361236" w:rsidRDefault="00361236" w:rsidP="00361236">
            <w:pPr>
              <w:contextualSpacing/>
              <w:jc w:val="center"/>
              <w:cnfStyle w:val="100000000000" w:firstRow="1" w:lastRow="0" w:firstColumn="0" w:lastColumn="0" w:oddVBand="0" w:evenVBand="0" w:oddHBand="0" w:evenHBand="0" w:firstRowFirstColumn="0" w:firstRowLastColumn="0" w:lastRowFirstColumn="0" w:lastRowLastColumn="0"/>
              <w:rPr>
                <w:rFonts w:ascii="Californian FB" w:hAnsi="Californian FB"/>
                <w:bCs w:val="0"/>
                <w:color w:val="041330"/>
                <w:sz w:val="24"/>
                <w:szCs w:val="24"/>
              </w:rPr>
            </w:pPr>
            <w:r>
              <w:t>2018</w:t>
            </w:r>
          </w:p>
          <w:p>
            <w:pPr>
              <w:jc w:val="center"/>
            </w:pPr>
            <w:r>
              <w:t>(millions)</w:t>
            </w:r>
          </w:p>
          <w:p w14:paraId="7CC2E75C" w14:textId="74C87416" w:rsidR="00CF45E5" w:rsidRPr="00CF45E5" w:rsidRDefault="00CF45E5" w:rsidP="00361236">
            <w:pPr>
              <w:contextualSpacing/>
              <w:jc w:val="center"/>
              <w:cnfStyle w:val="100000000000" w:firstRow="1" w:lastRow="0" w:firstColumn="0" w:lastColumn="0" w:oddVBand="0" w:evenVBand="0" w:oddHBand="0" w:evenHBand="0" w:firstRowFirstColumn="0" w:firstRowLastColumn="0" w:lastRowFirstColumn="0" w:lastRowLastColumn="0"/>
              <w:rPr>
                <w:rFonts w:ascii="Californian FB" w:hAnsi="Californian FB"/>
                <w:b w:val="0"/>
                <w:color w:val="041330"/>
                <w:sz w:val="20"/>
                <w:szCs w:val="20"/>
              </w:rPr>
            </w:pPr>
            <w:r>
              <w:t>（百万）</w:t>
            </w:r>
          </w:p>
        </w:tc>
        <w:tc>
          <w:tcPr>
            <w:tcW w:w="1169"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tcPr>
          <w:p>
            <w:pPr>
              <w:jc w:val="center"/>
            </w:pPr>
            <w:r>
              <w:t>YoY Growth</w:t>
            </w:r>
          </w:p>
          <w:p w14:paraId="5C32BE83" w14:textId="34BEFB6A" w:rsidR="00361236" w:rsidRDefault="00361236" w:rsidP="00361236">
            <w:pPr>
              <w:contextualSpacing/>
              <w:jc w:val="center"/>
              <w:cnfStyle w:val="100000000000" w:firstRow="1" w:lastRow="0" w:firstColumn="0" w:lastColumn="0" w:oddVBand="0" w:evenVBand="0" w:oddHBand="0" w:evenHBand="0" w:firstRowFirstColumn="0" w:firstRowLastColumn="0" w:lastRowFirstColumn="0" w:lastRowLastColumn="0"/>
              <w:rPr>
                <w:rFonts w:ascii="Californian FB" w:hAnsi="Californian FB"/>
                <w:b w:val="0"/>
                <w:color w:val="041330"/>
                <w:sz w:val="24"/>
                <w:szCs w:val="24"/>
              </w:rPr>
            </w:pPr>
            <w:r>
              <w:t>同比增长</w:t>
            </w:r>
          </w:p>
        </w:tc>
      </w:tr>
      <w:tr w:rsidR="0082333F" w:rsidRPr="003E733C" w14:paraId="11B60457" w14:textId="41C78762" w:rsidTr="004820AF">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21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tcPr>
          <w:p>
            <w:pPr/>
            <w:r>
              <w:t>Revenue</w:t>
            </w:r>
          </w:p>
          <w:p w14:paraId="30E62D7E" w14:textId="7D84DB47" w:rsidR="0082333F" w:rsidRPr="003E733C" w:rsidRDefault="0082333F" w:rsidP="0082333F">
            <w:pPr>
              <w:contextualSpacing/>
              <w:rPr>
                <w:rFonts w:ascii="Californian FB" w:hAnsi="Californian FB"/>
                <w:b w:val="0"/>
                <w:color w:val="041330"/>
                <w:sz w:val="24"/>
                <w:szCs w:val="24"/>
              </w:rPr>
            </w:pPr>
            <w:r>
              <w:t>收入</w:t>
            </w:r>
          </w:p>
        </w:tc>
        <w:tc>
          <w:tcPr>
            <w:tcW w:w="12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tcPr>
          <w:p>
            <w:pPr>
              <w:jc w:val="right"/>
            </w:pPr>
            <w:r>
              <w:t>$21.64</w:t>
            </w:r>
          </w:p>
          <w:p w14:paraId="096C1032" w14:textId="142084F3" w:rsidR="0082333F" w:rsidRPr="003E733C" w:rsidRDefault="0082333F" w:rsidP="0082333F">
            <w:pPr>
              <w:contextualSpacing/>
              <w:jc w:val="right"/>
              <w:cnfStyle w:val="000000100000" w:firstRow="0" w:lastRow="0" w:firstColumn="0" w:lastColumn="0" w:oddVBand="0" w:evenVBand="0" w:oddHBand="1" w:evenHBand="0" w:firstRowFirstColumn="0" w:firstRowLastColumn="0" w:lastRowFirstColumn="0" w:lastRowLastColumn="0"/>
              <w:rPr>
                <w:rFonts w:ascii="Californian FB" w:hAnsi="Californian FB"/>
                <w:color w:val="041330"/>
                <w:sz w:val="24"/>
                <w:szCs w:val="24"/>
              </w:rPr>
            </w:pPr>
            <w:r>
              <w:t>21.64美元</w:t>
            </w:r>
          </w:p>
        </w:tc>
        <w:tc>
          <w:tcPr>
            <w:tcW w:w="129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tcPr>
          <w:p>
            <w:pPr>
              <w:jc w:val="center"/>
            </w:pPr>
            <w:r>
              <w:t>TBD</w:t>
            </w:r>
          </w:p>
          <w:p w14:paraId="0D444529" w14:textId="7209E7FF" w:rsidR="0082333F" w:rsidRPr="00D27093" w:rsidRDefault="00A91B5A" w:rsidP="0082333F">
            <w:pPr>
              <w:contextualSpacing/>
              <w:jc w:val="center"/>
              <w:cnfStyle w:val="000000100000" w:firstRow="0" w:lastRow="0" w:firstColumn="0" w:lastColumn="0" w:oddVBand="0" w:evenVBand="0" w:oddHBand="1" w:evenHBand="0" w:firstRowFirstColumn="0" w:firstRowLastColumn="0" w:lastRowFirstColumn="0" w:lastRowLastColumn="0"/>
              <w:rPr>
                <w:rFonts w:ascii="Californian FB" w:hAnsi="Californian FB"/>
                <w:i/>
                <w:color w:val="041330"/>
                <w:sz w:val="20"/>
                <w:szCs w:val="20"/>
              </w:rPr>
            </w:pPr>
            <w:r>
              <w:t>TBD</w:t>
            </w:r>
          </w:p>
        </w:tc>
        <w:tc>
          <w:tcPr>
            <w:tcW w:w="1169"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tcPr>
          <w:p>
            <w:pPr>
              <w:jc w:val="right"/>
            </w:pPr>
            <w:r>
              <w:t>$23.73</w:t>
            </w:r>
          </w:p>
          <w:p w14:paraId="7A656B96" w14:textId="74576EA6" w:rsidR="0082333F" w:rsidRDefault="0082333F" w:rsidP="0082333F">
            <w:pPr>
              <w:contextualSpacing/>
              <w:jc w:val="right"/>
              <w:cnfStyle w:val="000000100000" w:firstRow="0" w:lastRow="0" w:firstColumn="0" w:lastColumn="0" w:oddVBand="0" w:evenVBand="0" w:oddHBand="1" w:evenHBand="0" w:firstRowFirstColumn="0" w:firstRowLastColumn="0" w:lastRowFirstColumn="0" w:lastRowLastColumn="0"/>
              <w:rPr>
                <w:rFonts w:ascii="Californian FB" w:hAnsi="Californian FB"/>
                <w:color w:val="041330"/>
                <w:sz w:val="24"/>
                <w:szCs w:val="24"/>
              </w:rPr>
            </w:pPr>
            <w:r>
              <w:t>23.73美元</w:t>
            </w:r>
          </w:p>
        </w:tc>
        <w:tc>
          <w:tcPr>
            <w:tcW w:w="1169"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tcPr>
          <w:p>
            <w:pPr>
              <w:jc w:val="center"/>
            </w:pPr>
            <w:r>
              <w:t>+9.7%</w:t>
            </w:r>
          </w:p>
          <w:p w14:paraId="1FDD660F" w14:textId="34C1163E" w:rsidR="0082333F" w:rsidRPr="00D27093" w:rsidRDefault="00EC4BFC" w:rsidP="0082333F">
            <w:pPr>
              <w:contextualSpacing/>
              <w:jc w:val="center"/>
              <w:cnfStyle w:val="000000100000" w:firstRow="0" w:lastRow="0" w:firstColumn="0" w:lastColumn="0" w:oddVBand="0" w:evenVBand="0" w:oddHBand="1" w:evenHBand="0" w:firstRowFirstColumn="0" w:firstRowLastColumn="0" w:lastRowFirstColumn="0" w:lastRowLastColumn="0"/>
              <w:rPr>
                <w:rFonts w:ascii="Californian FB" w:hAnsi="Californian FB"/>
                <w:i/>
                <w:color w:val="041330"/>
                <w:sz w:val="20"/>
                <w:szCs w:val="20"/>
              </w:rPr>
            </w:pPr>
            <w:r>
              <w:t>+ 9.7%</w:t>
            </w:r>
          </w:p>
        </w:tc>
        <w:tc>
          <w:tcPr>
            <w:tcW w:w="1169"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tcPr>
          <w:p>
            <w:pPr>
              <w:jc w:val="right"/>
            </w:pPr>
            <w:r>
              <w:t>$26.97</w:t>
            </w:r>
          </w:p>
          <w:p w14:paraId="1EA1823C" w14:textId="1F0D497E" w:rsidR="0082333F" w:rsidRDefault="0082333F" w:rsidP="0082333F">
            <w:pPr>
              <w:contextualSpacing/>
              <w:jc w:val="right"/>
              <w:cnfStyle w:val="000000100000" w:firstRow="0" w:lastRow="0" w:firstColumn="0" w:lastColumn="0" w:oddVBand="0" w:evenVBand="0" w:oddHBand="1" w:evenHBand="0" w:firstRowFirstColumn="0" w:firstRowLastColumn="0" w:lastRowFirstColumn="0" w:lastRowLastColumn="0"/>
              <w:rPr>
                <w:rFonts w:ascii="Californian FB" w:hAnsi="Californian FB"/>
                <w:color w:val="041330"/>
                <w:sz w:val="24"/>
                <w:szCs w:val="24"/>
              </w:rPr>
            </w:pPr>
            <w:r>
              <w:t>26.97美元</w:t>
            </w:r>
          </w:p>
        </w:tc>
        <w:tc>
          <w:tcPr>
            <w:tcW w:w="1169"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tcPr>
          <w:p>
            <w:pPr>
              <w:jc w:val="center"/>
            </w:pPr>
            <w:r>
              <w:t>+13.6%</w:t>
            </w:r>
          </w:p>
          <w:p w14:paraId="350E0426" w14:textId="13B527BC" w:rsidR="0082333F" w:rsidRPr="00D27093" w:rsidRDefault="00EC4BFC" w:rsidP="0082333F">
            <w:pPr>
              <w:contextualSpacing/>
              <w:jc w:val="center"/>
              <w:cnfStyle w:val="000000100000" w:firstRow="0" w:lastRow="0" w:firstColumn="0" w:lastColumn="0" w:oddVBand="0" w:evenVBand="0" w:oddHBand="1" w:evenHBand="0" w:firstRowFirstColumn="0" w:firstRowLastColumn="0" w:lastRowFirstColumn="0" w:lastRowLastColumn="0"/>
              <w:rPr>
                <w:rFonts w:ascii="Californian FB" w:hAnsi="Californian FB"/>
                <w:i/>
                <w:color w:val="041330"/>
                <w:sz w:val="20"/>
                <w:szCs w:val="20"/>
              </w:rPr>
            </w:pPr>
            <w:r>
              <w:t>+ 13.6%</w:t>
            </w:r>
          </w:p>
        </w:tc>
      </w:tr>
      <w:tr w:rsidR="0082333F" w:rsidRPr="003E733C" w14:paraId="60EAAB1A" w14:textId="38EB875D" w:rsidTr="004820AF">
        <w:trPr>
          <w:trHeight w:val="353"/>
        </w:trPr>
        <w:tc>
          <w:tcPr>
            <w:cnfStyle w:val="001000000000" w:firstRow="0" w:lastRow="0" w:firstColumn="1" w:lastColumn="0" w:oddVBand="0" w:evenVBand="0" w:oddHBand="0" w:evenHBand="0" w:firstRowFirstColumn="0" w:firstRowLastColumn="0" w:lastRowFirstColumn="0" w:lastRowLastColumn="0"/>
            <w:tcW w:w="21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vAlign w:val="center"/>
          </w:tcPr>
          <w:p>
            <w:pPr/>
            <w:r>
              <w:t>COGS</w:t>
            </w:r>
          </w:p>
          <w:p w14:paraId="0ED13D99" w14:textId="5306EA84" w:rsidR="0082333F" w:rsidRPr="003E733C" w:rsidRDefault="0082333F" w:rsidP="0082333F">
            <w:pPr>
              <w:contextualSpacing/>
              <w:rPr>
                <w:rFonts w:ascii="Californian FB" w:hAnsi="Californian FB"/>
                <w:b w:val="0"/>
                <w:color w:val="041330"/>
                <w:sz w:val="24"/>
                <w:szCs w:val="24"/>
              </w:rPr>
            </w:pPr>
            <w:r>
              <w:t>齿轮</w:t>
            </w:r>
          </w:p>
        </w:tc>
        <w:tc>
          <w:tcPr>
            <w:tcW w:w="12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vAlign w:val="center"/>
          </w:tcPr>
          <w:p>
            <w:pPr>
              <w:jc w:val="right"/>
            </w:pPr>
            <w:r>
              <w:t>$15.34</w:t>
            </w:r>
          </w:p>
          <w:p w14:paraId="0C34CEB5" w14:textId="6D666BC8" w:rsidR="0082333F" w:rsidRPr="003E733C" w:rsidRDefault="0082333F" w:rsidP="0082333F">
            <w:pPr>
              <w:contextualSpacing/>
              <w:jc w:val="right"/>
              <w:cnfStyle w:val="000000000000" w:firstRow="0" w:lastRow="0" w:firstColumn="0" w:lastColumn="0" w:oddVBand="0" w:evenVBand="0" w:oddHBand="0" w:evenHBand="0" w:firstRowFirstColumn="0" w:firstRowLastColumn="0" w:lastRowFirstColumn="0" w:lastRowLastColumn="0"/>
              <w:rPr>
                <w:rFonts w:ascii="Californian FB" w:hAnsi="Californian FB"/>
                <w:color w:val="041330"/>
                <w:sz w:val="24"/>
                <w:szCs w:val="24"/>
              </w:rPr>
            </w:pPr>
            <w:r>
              <w:t>15.34美元</w:t>
            </w:r>
          </w:p>
        </w:tc>
        <w:tc>
          <w:tcPr>
            <w:tcW w:w="129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tcPr>
          <w:p>
            <w:pPr>
              <w:jc w:val="center"/>
            </w:pPr>
            <w:r>
              <w:t>TBD</w:t>
            </w:r>
          </w:p>
          <w:p w14:paraId="6D91B3E9" w14:textId="316EFC4B" w:rsidR="0082333F" w:rsidRPr="00D27093" w:rsidRDefault="00A91B5A" w:rsidP="0082333F">
            <w:pPr>
              <w:contextualSpacing/>
              <w:jc w:val="center"/>
              <w:cnfStyle w:val="000000000000" w:firstRow="0" w:lastRow="0" w:firstColumn="0" w:lastColumn="0" w:oddVBand="0" w:evenVBand="0" w:oddHBand="0" w:evenHBand="0" w:firstRowFirstColumn="0" w:firstRowLastColumn="0" w:lastRowFirstColumn="0" w:lastRowLastColumn="0"/>
              <w:rPr>
                <w:rFonts w:ascii="Californian FB" w:hAnsi="Californian FB"/>
                <w:i/>
                <w:color w:val="041330"/>
                <w:sz w:val="20"/>
                <w:szCs w:val="20"/>
              </w:rPr>
            </w:pPr>
            <w:r>
              <w:t>TBD</w:t>
            </w:r>
          </w:p>
        </w:tc>
        <w:tc>
          <w:tcPr>
            <w:tcW w:w="1169"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vAlign w:val="center"/>
          </w:tcPr>
          <w:p>
            <w:pPr>
              <w:jc w:val="right"/>
            </w:pPr>
            <w:r>
              <w:t>$16.84</w:t>
            </w:r>
          </w:p>
          <w:p w14:paraId="380BF6E7" w14:textId="75D2D327" w:rsidR="0082333F" w:rsidRDefault="0082333F" w:rsidP="0082333F">
            <w:pPr>
              <w:contextualSpacing/>
              <w:jc w:val="right"/>
              <w:cnfStyle w:val="000000000000" w:firstRow="0" w:lastRow="0" w:firstColumn="0" w:lastColumn="0" w:oddVBand="0" w:evenVBand="0" w:oddHBand="0" w:evenHBand="0" w:firstRowFirstColumn="0" w:firstRowLastColumn="0" w:lastRowFirstColumn="0" w:lastRowLastColumn="0"/>
              <w:rPr>
                <w:rFonts w:ascii="Californian FB" w:hAnsi="Californian FB"/>
                <w:color w:val="041330"/>
                <w:sz w:val="24"/>
                <w:szCs w:val="24"/>
              </w:rPr>
            </w:pPr>
            <w:r>
              <w:t>16.84美元</w:t>
            </w:r>
          </w:p>
        </w:tc>
        <w:tc>
          <w:tcPr>
            <w:tcW w:w="1169"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tcPr>
          <w:p>
            <w:pPr>
              <w:jc w:val="center"/>
            </w:pPr>
            <w:r>
              <w:t>+9.8%</w:t>
            </w:r>
          </w:p>
          <w:p w14:paraId="3E0BD65B" w14:textId="6E7F2342" w:rsidR="0082333F" w:rsidRPr="00D27093" w:rsidRDefault="00EC4BFC" w:rsidP="0082333F">
            <w:pPr>
              <w:contextualSpacing/>
              <w:jc w:val="center"/>
              <w:cnfStyle w:val="000000000000" w:firstRow="0" w:lastRow="0" w:firstColumn="0" w:lastColumn="0" w:oddVBand="0" w:evenVBand="0" w:oddHBand="0" w:evenHBand="0" w:firstRowFirstColumn="0" w:firstRowLastColumn="0" w:lastRowFirstColumn="0" w:lastRowLastColumn="0"/>
              <w:rPr>
                <w:rFonts w:ascii="Californian FB" w:hAnsi="Californian FB"/>
                <w:i/>
                <w:color w:val="041330"/>
                <w:sz w:val="20"/>
                <w:szCs w:val="20"/>
              </w:rPr>
            </w:pPr>
            <w:r>
              <w:t>+ 9.8%</w:t>
            </w:r>
          </w:p>
        </w:tc>
        <w:tc>
          <w:tcPr>
            <w:tcW w:w="1169"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vAlign w:val="center"/>
          </w:tcPr>
          <w:p>
            <w:pPr>
              <w:jc w:val="right"/>
            </w:pPr>
            <w:r>
              <w:t>$18.88</w:t>
            </w:r>
          </w:p>
          <w:p w14:paraId="3EB4BB39" w14:textId="6D0F3CD0" w:rsidR="0082333F" w:rsidRDefault="0082333F" w:rsidP="0082333F">
            <w:pPr>
              <w:contextualSpacing/>
              <w:jc w:val="right"/>
              <w:cnfStyle w:val="000000000000" w:firstRow="0" w:lastRow="0" w:firstColumn="0" w:lastColumn="0" w:oddVBand="0" w:evenVBand="0" w:oddHBand="0" w:evenHBand="0" w:firstRowFirstColumn="0" w:firstRowLastColumn="0" w:lastRowFirstColumn="0" w:lastRowLastColumn="0"/>
              <w:rPr>
                <w:rFonts w:ascii="Californian FB" w:hAnsi="Californian FB"/>
                <w:color w:val="041330"/>
                <w:sz w:val="24"/>
                <w:szCs w:val="24"/>
              </w:rPr>
            </w:pPr>
            <w:r>
              <w:t>18.88美元</w:t>
            </w:r>
          </w:p>
        </w:tc>
        <w:tc>
          <w:tcPr>
            <w:tcW w:w="1169"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tcPr>
          <w:p>
            <w:pPr>
              <w:jc w:val="center"/>
            </w:pPr>
            <w:r>
              <w:t>+12.1%</w:t>
            </w:r>
          </w:p>
          <w:p w14:paraId="367F5BA4" w14:textId="27C21198" w:rsidR="0082333F" w:rsidRPr="00D27093" w:rsidRDefault="00EC4BFC" w:rsidP="0082333F">
            <w:pPr>
              <w:contextualSpacing/>
              <w:jc w:val="center"/>
              <w:cnfStyle w:val="000000000000" w:firstRow="0" w:lastRow="0" w:firstColumn="0" w:lastColumn="0" w:oddVBand="0" w:evenVBand="0" w:oddHBand="0" w:evenHBand="0" w:firstRowFirstColumn="0" w:firstRowLastColumn="0" w:lastRowFirstColumn="0" w:lastRowLastColumn="0"/>
              <w:rPr>
                <w:rFonts w:ascii="Californian FB" w:hAnsi="Californian FB"/>
                <w:i/>
                <w:color w:val="041330"/>
                <w:sz w:val="20"/>
                <w:szCs w:val="20"/>
              </w:rPr>
            </w:pPr>
            <w:r>
              <w:t>+ 12.1%</w:t>
            </w:r>
          </w:p>
        </w:tc>
      </w:tr>
      <w:tr w:rsidR="0082333F" w:rsidRPr="003E733C" w14:paraId="210D76D3" w14:textId="3085133C" w:rsidTr="004820AF">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21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tcPr>
          <w:p>
            <w:pPr/>
            <w:r>
              <w:t>Op Ex</w:t>
            </w:r>
          </w:p>
          <w:p w14:paraId="25B2EAE0" w14:textId="321A60E5" w:rsidR="0082333F" w:rsidRPr="003E733C" w:rsidRDefault="0082333F" w:rsidP="0082333F">
            <w:pPr>
              <w:contextualSpacing/>
              <w:rPr>
                <w:rFonts w:ascii="Californian FB" w:hAnsi="Californian FB"/>
                <w:b w:val="0"/>
                <w:color w:val="041330"/>
                <w:sz w:val="24"/>
                <w:szCs w:val="24"/>
              </w:rPr>
            </w:pPr>
            <w:r>
              <w:t>欧普</w:t>
            </w:r>
          </w:p>
        </w:tc>
        <w:tc>
          <w:tcPr>
            <w:tcW w:w="12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tcPr>
          <w:p>
            <w:pPr>
              <w:jc w:val="right"/>
            </w:pPr>
            <w:r>
              <w:t>$4.57</w:t>
            </w:r>
          </w:p>
          <w:p w14:paraId="5BE95277" w14:textId="713B704B" w:rsidR="0082333F" w:rsidRPr="003E733C" w:rsidRDefault="0082333F" w:rsidP="0082333F">
            <w:pPr>
              <w:contextualSpacing/>
              <w:jc w:val="right"/>
              <w:cnfStyle w:val="000000100000" w:firstRow="0" w:lastRow="0" w:firstColumn="0" w:lastColumn="0" w:oddVBand="0" w:evenVBand="0" w:oddHBand="1" w:evenHBand="0" w:firstRowFirstColumn="0" w:firstRowLastColumn="0" w:lastRowFirstColumn="0" w:lastRowLastColumn="0"/>
              <w:rPr>
                <w:rFonts w:ascii="Californian FB" w:hAnsi="Californian FB"/>
                <w:color w:val="041330"/>
                <w:sz w:val="24"/>
                <w:szCs w:val="24"/>
              </w:rPr>
            </w:pPr>
            <w:r>
              <w:t>4.57美元</w:t>
            </w:r>
          </w:p>
        </w:tc>
        <w:tc>
          <w:tcPr>
            <w:tcW w:w="129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tcPr>
          <w:p>
            <w:pPr>
              <w:jc w:val="center"/>
            </w:pPr>
            <w:r>
              <w:t>TBD</w:t>
            </w:r>
          </w:p>
          <w:p w14:paraId="1A031783" w14:textId="37332FDC" w:rsidR="0082333F" w:rsidRPr="00D27093" w:rsidRDefault="00A91B5A" w:rsidP="0082333F">
            <w:pPr>
              <w:contextualSpacing/>
              <w:jc w:val="center"/>
              <w:cnfStyle w:val="000000100000" w:firstRow="0" w:lastRow="0" w:firstColumn="0" w:lastColumn="0" w:oddVBand="0" w:evenVBand="0" w:oddHBand="1" w:evenHBand="0" w:firstRowFirstColumn="0" w:firstRowLastColumn="0" w:lastRowFirstColumn="0" w:lastRowLastColumn="0"/>
              <w:rPr>
                <w:rFonts w:ascii="Californian FB" w:hAnsi="Californian FB"/>
                <w:i/>
                <w:color w:val="041330"/>
                <w:sz w:val="20"/>
                <w:szCs w:val="20"/>
              </w:rPr>
            </w:pPr>
            <w:r>
              <w:t>TBD</w:t>
            </w:r>
          </w:p>
        </w:tc>
        <w:tc>
          <w:tcPr>
            <w:tcW w:w="1169"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tcPr>
          <w:p>
            <w:pPr>
              <w:jc w:val="right"/>
            </w:pPr>
            <w:r>
              <w:t>$5.61</w:t>
            </w:r>
          </w:p>
          <w:p w14:paraId="09459B0A" w14:textId="577ECC76" w:rsidR="0082333F" w:rsidRDefault="0082333F" w:rsidP="0082333F">
            <w:pPr>
              <w:contextualSpacing/>
              <w:jc w:val="right"/>
              <w:cnfStyle w:val="000000100000" w:firstRow="0" w:lastRow="0" w:firstColumn="0" w:lastColumn="0" w:oddVBand="0" w:evenVBand="0" w:oddHBand="1" w:evenHBand="0" w:firstRowFirstColumn="0" w:firstRowLastColumn="0" w:lastRowFirstColumn="0" w:lastRowLastColumn="0"/>
              <w:rPr>
                <w:rFonts w:ascii="Californian FB" w:hAnsi="Californian FB"/>
                <w:color w:val="041330"/>
                <w:sz w:val="24"/>
                <w:szCs w:val="24"/>
              </w:rPr>
            </w:pPr>
            <w:r>
              <w:t>5.61美元</w:t>
            </w:r>
          </w:p>
        </w:tc>
        <w:tc>
          <w:tcPr>
            <w:tcW w:w="1169"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tcPr>
          <w:p>
            <w:pPr>
              <w:jc w:val="center"/>
            </w:pPr>
            <w:r>
              <w:t>+22.8%</w:t>
            </w:r>
          </w:p>
          <w:p w14:paraId="4E597FDC" w14:textId="1E7899E8" w:rsidR="0082333F" w:rsidRPr="00D27093" w:rsidRDefault="00EC4BFC" w:rsidP="0082333F">
            <w:pPr>
              <w:contextualSpacing/>
              <w:jc w:val="center"/>
              <w:cnfStyle w:val="000000100000" w:firstRow="0" w:lastRow="0" w:firstColumn="0" w:lastColumn="0" w:oddVBand="0" w:evenVBand="0" w:oddHBand="1" w:evenHBand="0" w:firstRowFirstColumn="0" w:firstRowLastColumn="0" w:lastRowFirstColumn="0" w:lastRowLastColumn="0"/>
              <w:rPr>
                <w:rFonts w:ascii="Californian FB" w:hAnsi="Californian FB"/>
                <w:i/>
                <w:color w:val="041330"/>
                <w:sz w:val="20"/>
                <w:szCs w:val="20"/>
              </w:rPr>
            </w:pPr>
            <w:r>
              <w:t>+ 22.8%</w:t>
            </w:r>
          </w:p>
        </w:tc>
        <w:tc>
          <w:tcPr>
            <w:tcW w:w="1169"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tcPr>
          <w:p>
            <w:pPr>
              <w:jc w:val="right"/>
            </w:pPr>
            <w:r>
              <w:t>$5.35</w:t>
            </w:r>
          </w:p>
          <w:p w14:paraId="7C3FB3D8" w14:textId="2B86A8F6" w:rsidR="0082333F" w:rsidRDefault="0082333F" w:rsidP="0082333F">
            <w:pPr>
              <w:contextualSpacing/>
              <w:jc w:val="right"/>
              <w:cnfStyle w:val="000000100000" w:firstRow="0" w:lastRow="0" w:firstColumn="0" w:lastColumn="0" w:oddVBand="0" w:evenVBand="0" w:oddHBand="1" w:evenHBand="0" w:firstRowFirstColumn="0" w:firstRowLastColumn="0" w:lastRowFirstColumn="0" w:lastRowLastColumn="0"/>
              <w:rPr>
                <w:rFonts w:ascii="Californian FB" w:hAnsi="Californian FB"/>
                <w:color w:val="041330"/>
                <w:sz w:val="24"/>
                <w:szCs w:val="24"/>
              </w:rPr>
            </w:pPr>
            <w:r>
              <w:t>5.35美元</w:t>
            </w:r>
          </w:p>
        </w:tc>
        <w:tc>
          <w:tcPr>
            <w:tcW w:w="1169"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tcPr>
          <w:p>
            <w:pPr>
              <w:jc w:val="center"/>
            </w:pPr>
            <w:r>
              <w:t>-4.6%</w:t>
            </w:r>
          </w:p>
          <w:p w14:paraId="32E35783" w14:textId="4E2A63BE" w:rsidR="0082333F" w:rsidRPr="001E0501" w:rsidRDefault="001E0501" w:rsidP="0082333F">
            <w:pPr>
              <w:contextualSpacing/>
              <w:jc w:val="center"/>
              <w:cnfStyle w:val="000000100000" w:firstRow="0" w:lastRow="0" w:firstColumn="0" w:lastColumn="0" w:oddVBand="0" w:evenVBand="0" w:oddHBand="1" w:evenHBand="0" w:firstRowFirstColumn="0" w:firstRowLastColumn="0" w:lastRowFirstColumn="0" w:lastRowLastColumn="0"/>
              <w:rPr>
                <w:rFonts w:ascii="Californian FB" w:hAnsi="Californian FB"/>
                <w:i/>
                <w:color w:val="00B050"/>
                <w:sz w:val="20"/>
                <w:szCs w:val="20"/>
              </w:rPr>
            </w:pPr>
            <w:r>
              <w:t>- 4.6%</w:t>
            </w:r>
          </w:p>
        </w:tc>
      </w:tr>
      <w:tr w:rsidR="0082333F" w:rsidRPr="003E733C" w14:paraId="40EB42DE" w14:textId="4606356B" w:rsidTr="004820AF">
        <w:trPr>
          <w:trHeight w:val="337"/>
        </w:trPr>
        <w:tc>
          <w:tcPr>
            <w:cnfStyle w:val="001000000000" w:firstRow="0" w:lastRow="0" w:firstColumn="1" w:lastColumn="0" w:oddVBand="0" w:evenVBand="0" w:oddHBand="0" w:evenHBand="0" w:firstRowFirstColumn="0" w:firstRowLastColumn="0" w:lastRowFirstColumn="0" w:lastRowLastColumn="0"/>
            <w:tcW w:w="21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vAlign w:val="center"/>
          </w:tcPr>
          <w:p>
            <w:pPr/>
            <w:r>
              <w:t>Net Income</w:t>
            </w:r>
          </w:p>
          <w:p w14:paraId="1C943D18" w14:textId="5DA12964" w:rsidR="0082333F" w:rsidRPr="003E733C" w:rsidRDefault="0082333F" w:rsidP="0082333F">
            <w:pPr>
              <w:contextualSpacing/>
              <w:rPr>
                <w:rFonts w:ascii="Californian FB" w:hAnsi="Californian FB"/>
                <w:b w:val="0"/>
                <w:color w:val="041330"/>
                <w:sz w:val="24"/>
                <w:szCs w:val="24"/>
              </w:rPr>
            </w:pPr>
            <w:r>
              <w:t>纯收入</w:t>
            </w:r>
          </w:p>
        </w:tc>
        <w:tc>
          <w:tcPr>
            <w:tcW w:w="12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vAlign w:val="center"/>
          </w:tcPr>
          <w:p>
            <w:pPr>
              <w:jc w:val="right"/>
            </w:pPr>
            <w:r>
              <w:t>$1.73</w:t>
            </w:r>
          </w:p>
          <w:p w14:paraId="7DF87D49" w14:textId="6EA94194" w:rsidR="0082333F" w:rsidRPr="003E733C" w:rsidRDefault="0082333F" w:rsidP="0082333F">
            <w:pPr>
              <w:contextualSpacing/>
              <w:jc w:val="right"/>
              <w:cnfStyle w:val="000000000000" w:firstRow="0" w:lastRow="0" w:firstColumn="0" w:lastColumn="0" w:oddVBand="0" w:evenVBand="0" w:oddHBand="0" w:evenHBand="0" w:firstRowFirstColumn="0" w:firstRowLastColumn="0" w:lastRowFirstColumn="0" w:lastRowLastColumn="0"/>
              <w:rPr>
                <w:rFonts w:ascii="Californian FB" w:hAnsi="Californian FB"/>
                <w:color w:val="041330"/>
                <w:sz w:val="24"/>
                <w:szCs w:val="24"/>
              </w:rPr>
            </w:pPr>
            <w:r>
              <w:t>1.73美元</w:t>
            </w:r>
          </w:p>
        </w:tc>
        <w:tc>
          <w:tcPr>
            <w:tcW w:w="129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tcPr>
          <w:p>
            <w:pPr>
              <w:jc w:val="center"/>
            </w:pPr>
            <w:r>
              <w:t>TBD</w:t>
            </w:r>
          </w:p>
          <w:p w14:paraId="0166546F" w14:textId="76122075" w:rsidR="0082333F" w:rsidRPr="00D27093" w:rsidRDefault="00A91B5A" w:rsidP="0082333F">
            <w:pPr>
              <w:contextualSpacing/>
              <w:jc w:val="center"/>
              <w:cnfStyle w:val="000000000000" w:firstRow="0" w:lastRow="0" w:firstColumn="0" w:lastColumn="0" w:oddVBand="0" w:evenVBand="0" w:oddHBand="0" w:evenHBand="0" w:firstRowFirstColumn="0" w:firstRowLastColumn="0" w:lastRowFirstColumn="0" w:lastRowLastColumn="0"/>
              <w:rPr>
                <w:rFonts w:ascii="Californian FB" w:hAnsi="Californian FB"/>
                <w:i/>
                <w:color w:val="041330"/>
                <w:sz w:val="20"/>
                <w:szCs w:val="20"/>
              </w:rPr>
            </w:pPr>
            <w:r>
              <w:t>TBD</w:t>
            </w:r>
          </w:p>
        </w:tc>
        <w:tc>
          <w:tcPr>
            <w:tcW w:w="1169"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vAlign w:val="center"/>
          </w:tcPr>
          <w:p>
            <w:pPr>
              <w:jc w:val="right"/>
            </w:pPr>
            <w:r>
              <w:t>$1.28</w:t>
            </w:r>
          </w:p>
          <w:p w14:paraId="45678E7D" w14:textId="3ABCE307" w:rsidR="0082333F" w:rsidRDefault="0082333F" w:rsidP="0082333F">
            <w:pPr>
              <w:contextualSpacing/>
              <w:jc w:val="right"/>
              <w:cnfStyle w:val="000000000000" w:firstRow="0" w:lastRow="0" w:firstColumn="0" w:lastColumn="0" w:oddVBand="0" w:evenVBand="0" w:oddHBand="0" w:evenHBand="0" w:firstRowFirstColumn="0" w:firstRowLastColumn="0" w:lastRowFirstColumn="0" w:lastRowLastColumn="0"/>
              <w:rPr>
                <w:rFonts w:ascii="Californian FB" w:hAnsi="Californian FB"/>
                <w:color w:val="041330"/>
                <w:sz w:val="24"/>
                <w:szCs w:val="24"/>
              </w:rPr>
            </w:pPr>
            <w:r>
              <w:t>1.28美元</w:t>
            </w:r>
          </w:p>
        </w:tc>
        <w:tc>
          <w:tcPr>
            <w:tcW w:w="1169"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tcPr>
          <w:p>
            <w:pPr>
              <w:jc w:val="center"/>
            </w:pPr>
            <w:r>
              <w:t>-26.0%</w:t>
            </w:r>
          </w:p>
          <w:p w14:paraId="30D221CF" w14:textId="211E484A" w:rsidR="0082333F" w:rsidRPr="001E0501" w:rsidRDefault="001E0501" w:rsidP="0082333F">
            <w:pPr>
              <w:contextualSpacing/>
              <w:jc w:val="center"/>
              <w:cnfStyle w:val="000000000000" w:firstRow="0" w:lastRow="0" w:firstColumn="0" w:lastColumn="0" w:oddVBand="0" w:evenVBand="0" w:oddHBand="0" w:evenHBand="0" w:firstRowFirstColumn="0" w:firstRowLastColumn="0" w:lastRowFirstColumn="0" w:lastRowLastColumn="0"/>
              <w:rPr>
                <w:rFonts w:ascii="Californian FB" w:hAnsi="Californian FB"/>
                <w:i/>
                <w:color w:val="FF0000"/>
                <w:sz w:val="20"/>
                <w:szCs w:val="20"/>
              </w:rPr>
            </w:pPr>
            <w:r>
              <w:t>- 26%</w:t>
            </w:r>
          </w:p>
        </w:tc>
        <w:tc>
          <w:tcPr>
            <w:tcW w:w="1169"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vAlign w:val="center"/>
          </w:tcPr>
          <w:p>
            <w:pPr>
              <w:jc w:val="right"/>
            </w:pPr>
            <w:r>
              <w:t>$2.74</w:t>
            </w:r>
          </w:p>
          <w:p w14:paraId="773C23DB" w14:textId="182CBED9" w:rsidR="0082333F" w:rsidRDefault="0082333F" w:rsidP="0082333F">
            <w:pPr>
              <w:contextualSpacing/>
              <w:jc w:val="right"/>
              <w:cnfStyle w:val="000000000000" w:firstRow="0" w:lastRow="0" w:firstColumn="0" w:lastColumn="0" w:oddVBand="0" w:evenVBand="0" w:oddHBand="0" w:evenHBand="0" w:firstRowFirstColumn="0" w:firstRowLastColumn="0" w:lastRowFirstColumn="0" w:lastRowLastColumn="0"/>
              <w:rPr>
                <w:rFonts w:ascii="Californian FB" w:hAnsi="Californian FB"/>
                <w:color w:val="041330"/>
                <w:sz w:val="24"/>
                <w:szCs w:val="24"/>
              </w:rPr>
            </w:pPr>
            <w:r>
              <w:t>2.74美元</w:t>
            </w:r>
          </w:p>
        </w:tc>
        <w:tc>
          <w:tcPr>
            <w:tcW w:w="1169"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tcPr>
          <w:p>
            <w:pPr>
              <w:jc w:val="center"/>
            </w:pPr>
            <w:r>
              <w:t>+114.1%</w:t>
            </w:r>
          </w:p>
          <w:p w14:paraId="59388E87" w14:textId="5B29B3D5" w:rsidR="0082333F" w:rsidRPr="001E0501" w:rsidRDefault="00EC4BFC" w:rsidP="0082333F">
            <w:pPr>
              <w:contextualSpacing/>
              <w:jc w:val="center"/>
              <w:cnfStyle w:val="000000000000" w:firstRow="0" w:lastRow="0" w:firstColumn="0" w:lastColumn="0" w:oddVBand="0" w:evenVBand="0" w:oddHBand="0" w:evenHBand="0" w:firstRowFirstColumn="0" w:firstRowLastColumn="0" w:lastRowFirstColumn="0" w:lastRowLastColumn="0"/>
              <w:rPr>
                <w:rFonts w:ascii="Californian FB" w:hAnsi="Californian FB"/>
                <w:i/>
                <w:color w:val="00B050"/>
                <w:sz w:val="20"/>
                <w:szCs w:val="20"/>
              </w:rPr>
            </w:pPr>
            <w:r>
              <w:t>+ 114.1%</w:t>
            </w:r>
          </w:p>
        </w:tc>
      </w:tr>
      <w:tr w:rsidR="0082333F" w:rsidRPr="003E733C" w14:paraId="409E44FE" w14:textId="19CD5F06" w:rsidTr="0082333F">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21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tcPr>
          <w:p>
            <w:pPr/>
            <w:r>
              <w:t>EBITDA</w:t>
            </w:r>
          </w:p>
          <w:p w14:paraId="43035DDB" w14:textId="2C23EDE6" w:rsidR="0082333F" w:rsidRDefault="0082333F" w:rsidP="0082333F">
            <w:pPr>
              <w:contextualSpacing/>
              <w:rPr>
                <w:rFonts w:ascii="Californian FB" w:hAnsi="Californian FB"/>
                <w:b w:val="0"/>
                <w:color w:val="041330"/>
                <w:sz w:val="24"/>
                <w:szCs w:val="24"/>
              </w:rPr>
            </w:pPr>
            <w:r>
              <w:t>EBITDA</w:t>
            </w:r>
          </w:p>
        </w:tc>
        <w:tc>
          <w:tcPr>
            <w:tcW w:w="12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tcPr>
          <w:p>
            <w:pPr>
              <w:jc w:val="right"/>
            </w:pPr>
            <w:r>
              <w:t>$3.16</w:t>
            </w:r>
          </w:p>
          <w:p w14:paraId="7334834E" w14:textId="4132EF58" w:rsidR="0082333F" w:rsidRPr="003E733C" w:rsidRDefault="0082333F" w:rsidP="0082333F">
            <w:pPr>
              <w:contextualSpacing/>
              <w:jc w:val="right"/>
              <w:cnfStyle w:val="000000100000" w:firstRow="0" w:lastRow="0" w:firstColumn="0" w:lastColumn="0" w:oddVBand="0" w:evenVBand="0" w:oddHBand="1" w:evenHBand="0" w:firstRowFirstColumn="0" w:firstRowLastColumn="0" w:lastRowFirstColumn="0" w:lastRowLastColumn="0"/>
              <w:rPr>
                <w:rFonts w:ascii="Californian FB" w:hAnsi="Californian FB"/>
                <w:color w:val="041330"/>
                <w:sz w:val="24"/>
                <w:szCs w:val="24"/>
              </w:rPr>
            </w:pPr>
            <w:r>
              <w:t>3.16美元</w:t>
            </w:r>
          </w:p>
        </w:tc>
        <w:tc>
          <w:tcPr>
            <w:tcW w:w="129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tcPr>
          <w:p>
            <w:pPr>
              <w:jc w:val="center"/>
            </w:pPr>
            <w:r>
              <w:t>TBD</w:t>
            </w:r>
          </w:p>
          <w:p w14:paraId="2EB7D47D" w14:textId="794BDC27" w:rsidR="0082333F" w:rsidRPr="00D27093" w:rsidRDefault="00A91B5A" w:rsidP="0082333F">
            <w:pPr>
              <w:contextualSpacing/>
              <w:jc w:val="center"/>
              <w:cnfStyle w:val="000000100000" w:firstRow="0" w:lastRow="0" w:firstColumn="0" w:lastColumn="0" w:oddVBand="0" w:evenVBand="0" w:oddHBand="1" w:evenHBand="0" w:firstRowFirstColumn="0" w:firstRowLastColumn="0" w:lastRowFirstColumn="0" w:lastRowLastColumn="0"/>
              <w:rPr>
                <w:rFonts w:ascii="Californian FB" w:hAnsi="Californian FB"/>
                <w:i/>
                <w:color w:val="041330"/>
                <w:sz w:val="20"/>
                <w:szCs w:val="20"/>
              </w:rPr>
            </w:pPr>
            <w:r>
              <w:t>TBD</w:t>
            </w:r>
          </w:p>
        </w:tc>
        <w:tc>
          <w:tcPr>
            <w:tcW w:w="1169"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tcPr>
          <w:p>
            <w:pPr>
              <w:jc w:val="right"/>
            </w:pPr>
            <w:r>
              <w:t>$2.92</w:t>
            </w:r>
          </w:p>
          <w:p w14:paraId="50265D74" w14:textId="21A73CDD" w:rsidR="0082333F" w:rsidRDefault="0082333F" w:rsidP="0082333F">
            <w:pPr>
              <w:contextualSpacing/>
              <w:jc w:val="right"/>
              <w:cnfStyle w:val="000000100000" w:firstRow="0" w:lastRow="0" w:firstColumn="0" w:lastColumn="0" w:oddVBand="0" w:evenVBand="0" w:oddHBand="1" w:evenHBand="0" w:firstRowFirstColumn="0" w:firstRowLastColumn="0" w:lastRowFirstColumn="0" w:lastRowLastColumn="0"/>
              <w:rPr>
                <w:rFonts w:ascii="Californian FB" w:hAnsi="Californian FB"/>
                <w:color w:val="041330"/>
                <w:sz w:val="24"/>
                <w:szCs w:val="24"/>
              </w:rPr>
            </w:pPr>
            <w:r>
              <w:t>2.92美元</w:t>
            </w:r>
          </w:p>
        </w:tc>
        <w:tc>
          <w:tcPr>
            <w:tcW w:w="1169"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tcPr>
          <w:p>
            <w:pPr>
              <w:jc w:val="center"/>
            </w:pPr>
            <w:r>
              <w:t>-7.6%</w:t>
            </w:r>
          </w:p>
          <w:p w14:paraId="6ADC110B" w14:textId="2B7F2631" w:rsidR="0082333F" w:rsidRPr="001E0501" w:rsidRDefault="001E0501" w:rsidP="0082333F">
            <w:pPr>
              <w:contextualSpacing/>
              <w:jc w:val="center"/>
              <w:cnfStyle w:val="000000100000" w:firstRow="0" w:lastRow="0" w:firstColumn="0" w:lastColumn="0" w:oddVBand="0" w:evenVBand="0" w:oddHBand="1" w:evenHBand="0" w:firstRowFirstColumn="0" w:firstRowLastColumn="0" w:lastRowFirstColumn="0" w:lastRowLastColumn="0"/>
              <w:rPr>
                <w:rFonts w:ascii="Californian FB" w:hAnsi="Californian FB"/>
                <w:i/>
                <w:color w:val="FF0000"/>
                <w:sz w:val="20"/>
                <w:szCs w:val="20"/>
              </w:rPr>
            </w:pPr>
            <w:r>
              <w:t>- 7.6%</w:t>
            </w:r>
          </w:p>
        </w:tc>
        <w:tc>
          <w:tcPr>
            <w:tcW w:w="1169"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tcPr>
          <w:p>
            <w:pPr>
              <w:jc w:val="right"/>
            </w:pPr>
            <w:r>
              <w:t>$4.10</w:t>
            </w:r>
          </w:p>
          <w:p w14:paraId="76C3324F" w14:textId="513341E8" w:rsidR="0082333F" w:rsidRDefault="0082333F" w:rsidP="0082333F">
            <w:pPr>
              <w:contextualSpacing/>
              <w:jc w:val="right"/>
              <w:cnfStyle w:val="000000100000" w:firstRow="0" w:lastRow="0" w:firstColumn="0" w:lastColumn="0" w:oddVBand="0" w:evenVBand="0" w:oddHBand="1" w:evenHBand="0" w:firstRowFirstColumn="0" w:firstRowLastColumn="0" w:lastRowFirstColumn="0" w:lastRowLastColumn="0"/>
              <w:rPr>
                <w:rFonts w:ascii="Californian FB" w:hAnsi="Californian FB"/>
                <w:color w:val="041330"/>
                <w:sz w:val="24"/>
                <w:szCs w:val="24"/>
              </w:rPr>
            </w:pPr>
            <w:r>
              <w:t>4.10美元</w:t>
            </w:r>
          </w:p>
        </w:tc>
        <w:tc>
          <w:tcPr>
            <w:tcW w:w="1169"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tcPr>
          <w:p>
            <w:pPr>
              <w:jc w:val="center"/>
            </w:pPr>
            <w:r>
              <w:t>+40.4%</w:t>
            </w:r>
          </w:p>
          <w:p w14:paraId="396DE554" w14:textId="69E4D462" w:rsidR="0082333F" w:rsidRPr="001E0501" w:rsidRDefault="00EC4BFC" w:rsidP="0082333F">
            <w:pPr>
              <w:contextualSpacing/>
              <w:jc w:val="center"/>
              <w:cnfStyle w:val="000000100000" w:firstRow="0" w:lastRow="0" w:firstColumn="0" w:lastColumn="0" w:oddVBand="0" w:evenVBand="0" w:oddHBand="1" w:evenHBand="0" w:firstRowFirstColumn="0" w:firstRowLastColumn="0" w:lastRowFirstColumn="0" w:lastRowLastColumn="0"/>
              <w:rPr>
                <w:rFonts w:ascii="Californian FB" w:hAnsi="Californian FB"/>
                <w:i/>
                <w:color w:val="00B050"/>
                <w:sz w:val="20"/>
                <w:szCs w:val="20"/>
              </w:rPr>
            </w:pPr>
            <w:r>
              <w:t>+ 40.4%</w:t>
            </w:r>
          </w:p>
        </w:tc>
      </w:tr>
      <w:tr w:rsidR="0082333F" w:rsidRPr="003E733C" w14:paraId="2E0A344B" w14:textId="28FFD763" w:rsidTr="0082333F">
        <w:trPr>
          <w:trHeight w:val="337"/>
        </w:trPr>
        <w:tc>
          <w:tcPr>
            <w:cnfStyle w:val="001000000000" w:firstRow="0" w:lastRow="0" w:firstColumn="1" w:lastColumn="0" w:oddVBand="0" w:evenVBand="0" w:oddHBand="0" w:evenHBand="0" w:firstRowFirstColumn="0" w:firstRowLastColumn="0" w:lastRowFirstColumn="0" w:lastRowLastColumn="0"/>
            <w:tcW w:w="21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vAlign w:val="center"/>
          </w:tcPr>
          <w:p>
            <w:pPr/>
            <w:r>
              <w:t xml:space="preserve">     Margin</w:t>
            </w:r>
          </w:p>
          <w:p w14:paraId="12C98F48" w14:textId="5F02EF2F" w:rsidR="0082333F" w:rsidRPr="0082333F" w:rsidRDefault="0082333F" w:rsidP="0082333F">
            <w:pPr>
              <w:contextualSpacing/>
              <w:rPr>
                <w:rFonts w:ascii="Californian FB" w:hAnsi="Californian FB"/>
                <w:b w:val="0"/>
                <w:i/>
                <w:color w:val="041330"/>
                <w:sz w:val="24"/>
                <w:szCs w:val="24"/>
              </w:rPr>
            </w:pPr>
            <w:r>
              <w:t>边缘</w:t>
            </w:r>
          </w:p>
        </w:tc>
        <w:tc>
          <w:tcPr>
            <w:tcW w:w="12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vAlign w:val="center"/>
          </w:tcPr>
          <w:p>
            <w:pPr>
              <w:jc w:val="right"/>
            </w:pPr>
            <w:r>
              <w:t>14.6%</w:t>
            </w:r>
          </w:p>
          <w:p w14:paraId="598A69D0" w14:textId="5F3DDC83" w:rsidR="0082333F" w:rsidRPr="00D27093" w:rsidRDefault="00E80AAE" w:rsidP="0082333F">
            <w:pPr>
              <w:contextualSpacing/>
              <w:jc w:val="right"/>
              <w:cnfStyle w:val="000000000000" w:firstRow="0" w:lastRow="0" w:firstColumn="0" w:lastColumn="0" w:oddVBand="0" w:evenVBand="0" w:oddHBand="0" w:evenHBand="0" w:firstRowFirstColumn="0" w:firstRowLastColumn="0" w:lastRowFirstColumn="0" w:lastRowLastColumn="0"/>
              <w:rPr>
                <w:rFonts w:ascii="Californian FB" w:hAnsi="Californian FB"/>
                <w:i/>
                <w:color w:val="041330"/>
                <w:sz w:val="20"/>
                <w:szCs w:val="20"/>
              </w:rPr>
            </w:pPr>
            <w:r>
              <w:t>14.6%</w:t>
            </w:r>
          </w:p>
        </w:tc>
        <w:tc>
          <w:tcPr>
            <w:tcW w:w="1297" w:type="dxa"/>
            <w:tcBorders>
              <w:top w:val="single" w:sz="4" w:space="0" w:color="A5A5A5" w:themeColor="accent3"/>
              <w:left w:val="single" w:sz="4" w:space="0" w:color="A5A5A5" w:themeColor="accent3"/>
              <w:bottom w:val="nil"/>
              <w:right w:val="nil"/>
            </w:tcBorders>
            <w:shd w:val="clear" w:color="auto" w:fill="auto"/>
          </w:tcPr>
          <w:p>
            <w:pPr>
              <w:jc w:val="right"/>
            </w:pPr>
          </w:p>
          <w:p w14:paraId="7E9BD072" w14:textId="77777777" w:rsidR="0082333F" w:rsidRPr="0082333F" w:rsidRDefault="0082333F" w:rsidP="0082333F">
            <w:pPr>
              <w:contextualSpacing/>
              <w:jc w:val="right"/>
              <w:cnfStyle w:val="000000000000" w:firstRow="0" w:lastRow="0" w:firstColumn="0" w:lastColumn="0" w:oddVBand="0" w:evenVBand="0" w:oddHBand="0" w:evenHBand="0" w:firstRowFirstColumn="0" w:firstRowLastColumn="0" w:lastRowFirstColumn="0" w:lastRowLastColumn="0"/>
              <w:rPr>
                <w:rFonts w:ascii="Californian FB" w:hAnsi="Californian FB"/>
                <w:i/>
                <w:color w:val="041330"/>
                <w:sz w:val="24"/>
                <w:szCs w:val="24"/>
              </w:rPr>
            </w:pPr>
            <w:r/>
          </w:p>
        </w:tc>
        <w:tc>
          <w:tcPr>
            <w:tcW w:w="1169" w:type="dxa"/>
            <w:tcBorders>
              <w:top w:val="single" w:sz="4" w:space="0" w:color="A5A5A5" w:themeColor="accent3"/>
              <w:left w:val="nil"/>
              <w:bottom w:val="single" w:sz="4" w:space="0" w:color="A5A5A5" w:themeColor="accent3"/>
              <w:right w:val="nil"/>
            </w:tcBorders>
            <w:shd w:val="clear" w:color="auto" w:fill="D0CECE" w:themeFill="background2" w:themeFillShade="E6"/>
            <w:vAlign w:val="center"/>
          </w:tcPr>
          <w:p>
            <w:pPr>
              <w:jc w:val="right"/>
            </w:pPr>
            <w:r>
              <w:t>12.3%</w:t>
            </w:r>
          </w:p>
          <w:p w14:paraId="050DD10F" w14:textId="4AB2564D" w:rsidR="0082333F" w:rsidRPr="00D27093" w:rsidRDefault="00E80AAE" w:rsidP="0082333F">
            <w:pPr>
              <w:contextualSpacing/>
              <w:jc w:val="right"/>
              <w:cnfStyle w:val="000000000000" w:firstRow="0" w:lastRow="0" w:firstColumn="0" w:lastColumn="0" w:oddVBand="0" w:evenVBand="0" w:oddHBand="0" w:evenHBand="0" w:firstRowFirstColumn="0" w:firstRowLastColumn="0" w:lastRowFirstColumn="0" w:lastRowLastColumn="0"/>
              <w:rPr>
                <w:rFonts w:ascii="Californian FB" w:hAnsi="Californian FB"/>
                <w:i/>
                <w:color w:val="041330"/>
                <w:sz w:val="20"/>
                <w:szCs w:val="20"/>
              </w:rPr>
            </w:pPr>
            <w:r>
              <w:t>12.3%</w:t>
            </w:r>
          </w:p>
        </w:tc>
        <w:tc>
          <w:tcPr>
            <w:tcW w:w="1169" w:type="dxa"/>
            <w:tcBorders>
              <w:top w:val="single" w:sz="4" w:space="0" w:color="A5A5A5" w:themeColor="accent3"/>
              <w:left w:val="nil"/>
              <w:bottom w:val="nil"/>
              <w:right w:val="nil"/>
            </w:tcBorders>
            <w:shd w:val="clear" w:color="auto" w:fill="auto"/>
          </w:tcPr>
          <w:p>
            <w:pPr>
              <w:jc w:val="right"/>
            </w:pPr>
          </w:p>
          <w:p w14:paraId="7E19DFFF" w14:textId="77777777" w:rsidR="0082333F" w:rsidRPr="0082333F" w:rsidRDefault="0082333F" w:rsidP="0082333F">
            <w:pPr>
              <w:contextualSpacing/>
              <w:jc w:val="right"/>
              <w:cnfStyle w:val="000000000000" w:firstRow="0" w:lastRow="0" w:firstColumn="0" w:lastColumn="0" w:oddVBand="0" w:evenVBand="0" w:oddHBand="0" w:evenHBand="0" w:firstRowFirstColumn="0" w:firstRowLastColumn="0" w:lastRowFirstColumn="0" w:lastRowLastColumn="0"/>
              <w:rPr>
                <w:rFonts w:ascii="Californian FB" w:hAnsi="Californian FB"/>
                <w:i/>
                <w:color w:val="041330"/>
                <w:sz w:val="24"/>
                <w:szCs w:val="24"/>
              </w:rPr>
            </w:pPr>
            <w:r/>
          </w:p>
        </w:tc>
        <w:tc>
          <w:tcPr>
            <w:tcW w:w="1169" w:type="dxa"/>
            <w:tcBorders>
              <w:top w:val="single" w:sz="4" w:space="0" w:color="A5A5A5" w:themeColor="accent3"/>
              <w:left w:val="nil"/>
              <w:bottom w:val="single" w:sz="4" w:space="0" w:color="A5A5A5" w:themeColor="accent3"/>
              <w:right w:val="nil"/>
            </w:tcBorders>
            <w:shd w:val="clear" w:color="auto" w:fill="D0CECE" w:themeFill="background2" w:themeFillShade="E6"/>
            <w:vAlign w:val="center"/>
          </w:tcPr>
          <w:p>
            <w:pPr>
              <w:jc w:val="right"/>
            </w:pPr>
            <w:r>
              <w:t>15.2%</w:t>
            </w:r>
          </w:p>
          <w:p w14:paraId="79F6B4B2" w14:textId="4E91AE10" w:rsidR="0082333F" w:rsidRPr="00D27093" w:rsidRDefault="00AB0E94" w:rsidP="0082333F">
            <w:pPr>
              <w:contextualSpacing/>
              <w:jc w:val="right"/>
              <w:cnfStyle w:val="000000000000" w:firstRow="0" w:lastRow="0" w:firstColumn="0" w:lastColumn="0" w:oddVBand="0" w:evenVBand="0" w:oddHBand="0" w:evenHBand="0" w:firstRowFirstColumn="0" w:firstRowLastColumn="0" w:lastRowFirstColumn="0" w:lastRowLastColumn="0"/>
              <w:rPr>
                <w:rFonts w:ascii="Californian FB" w:hAnsi="Californian FB"/>
                <w:i/>
                <w:color w:val="041330"/>
                <w:sz w:val="20"/>
                <w:szCs w:val="20"/>
              </w:rPr>
            </w:pPr>
            <w:r>
              <w:t>15.2%</w:t>
            </w:r>
          </w:p>
        </w:tc>
        <w:tc>
          <w:tcPr>
            <w:tcW w:w="1169" w:type="dxa"/>
            <w:tcBorders>
              <w:top w:val="single" w:sz="4" w:space="0" w:color="A5A5A5" w:themeColor="accent3"/>
              <w:left w:val="nil"/>
              <w:bottom w:val="nil"/>
              <w:right w:val="nil"/>
            </w:tcBorders>
            <w:shd w:val="clear" w:color="auto" w:fill="auto"/>
          </w:tcPr>
          <w:p>
            <w:pPr>
              <w:jc w:val="center"/>
            </w:pPr>
          </w:p>
          <w:p w14:paraId="087F18AA" w14:textId="77777777" w:rsidR="0082333F" w:rsidRPr="0082333F" w:rsidRDefault="0082333F" w:rsidP="0082333F">
            <w:pPr>
              <w:contextualSpacing/>
              <w:jc w:val="center"/>
              <w:cnfStyle w:val="000000000000" w:firstRow="0" w:lastRow="0" w:firstColumn="0" w:lastColumn="0" w:oddVBand="0" w:evenVBand="0" w:oddHBand="0" w:evenHBand="0" w:firstRowFirstColumn="0" w:firstRowLastColumn="0" w:lastRowFirstColumn="0" w:lastRowLastColumn="0"/>
              <w:rPr>
                <w:rFonts w:ascii="Californian FB" w:hAnsi="Californian FB"/>
                <w:i/>
                <w:color w:val="041330"/>
                <w:sz w:val="24"/>
                <w:szCs w:val="24"/>
              </w:rPr>
            </w:pPr>
            <w:r/>
          </w:p>
        </w:tc>
      </w:tr>
    </w:tbl>
    <w:p w14:paraId="4DC552B6" w14:textId="366A3AAD" w:rsidR="001C3D0B" w:rsidRDefault="001C3D0B" w:rsidP="00947866">
      <w:pPr>
        <w:shd w:val="clear" w:color="auto" w:fill="FFFFFF"/>
        <w:spacing w:after="0" w:line="240" w:lineRule="auto"/>
        <w:jc w:val="both"/>
        <w:rPr>
          <w:rFonts w:ascii="Californian FB" w:eastAsia="Times New Roman" w:hAnsi="Californian FB" w:cs="Arial"/>
          <w:b/>
          <w:color w:val="041330"/>
          <w:sz w:val="24"/>
          <w:szCs w:val="24"/>
          <w:u w:val="single"/>
        </w:rPr>
      </w:pPr>
    </w:p>
    <w:p>
      <w:pPr>
        <w:jc w:val="both"/>
      </w:pPr>
    </w:p>
    <w:p w14:paraId="7DD759D5" w14:textId="34AC50F4" w:rsidR="00D41CD2" w:rsidRPr="003E733C" w:rsidRDefault="00D41CD2" w:rsidP="00947866">
      <w:pPr>
        <w:shd w:val="clear" w:color="auto" w:fill="FFFFFF"/>
        <w:spacing w:after="0" w:line="240" w:lineRule="auto"/>
        <w:jc w:val="both"/>
        <w:rPr>
          <w:rFonts w:ascii="Californian FB" w:eastAsia="Times New Roman" w:hAnsi="Californian FB" w:cs="Arial"/>
          <w:color w:val="041330"/>
          <w:sz w:val="24"/>
          <w:szCs w:val="24"/>
        </w:rPr>
      </w:pPr>
      <w:r>
        <w:t>Potential Exit Alternatives:</w:t>
      </w:r>
    </w:p>
    <w:p>
      <w:pPr>
        <w:jc w:val="both"/>
      </w:pPr>
      <w:r>
        <w:t>潜在出口备选方案：</w:t>
      </w:r>
    </w:p>
    <w:p w14:paraId="4B975F1C" w14:textId="77777777" w:rsidR="0038693F" w:rsidRDefault="0038693F" w:rsidP="0038693F">
      <w:pPr>
        <w:pStyle w:val="ListParagraph"/>
        <w:numPr>
          <w:ilvl w:val="0"/>
          <w:numId w:val="2"/>
        </w:numPr>
        <w:shd w:val="clear" w:color="auto" w:fill="FFFFFF"/>
        <w:spacing w:after="0" w:line="240" w:lineRule="auto"/>
        <w:jc w:val="both"/>
        <w:rPr>
          <w:rFonts w:ascii="Californian FB" w:eastAsia="Times New Roman" w:hAnsi="Californian FB" w:cs="Arial"/>
          <w:color w:val="041330"/>
          <w:sz w:val="24"/>
          <w:szCs w:val="24"/>
        </w:rPr>
      </w:pPr>
      <w:r>
        <w:t>Management Buyout</w:t>
      </w:r>
    </w:p>
    <w:p>
      <w:pPr>
        <w:pStyle w:val="ListParagraph"/>
        <w:jc w:val="both"/>
      </w:pPr>
      <w:r>
        <w:t>管理层收购</w:t>
      </w:r>
    </w:p>
    <w:p w14:paraId="0928996E" w14:textId="06EAF03A" w:rsidR="0038693F" w:rsidRDefault="0038693F" w:rsidP="0038693F">
      <w:pPr>
        <w:pStyle w:val="ListParagraph"/>
        <w:numPr>
          <w:ilvl w:val="1"/>
          <w:numId w:val="2"/>
        </w:numPr>
        <w:shd w:val="clear" w:color="auto" w:fill="FFFFFF"/>
        <w:spacing w:after="0" w:line="240" w:lineRule="auto"/>
        <w:jc w:val="both"/>
        <w:rPr>
          <w:rFonts w:ascii="Californian FB" w:eastAsia="Times New Roman" w:hAnsi="Californian FB" w:cs="Arial"/>
          <w:color w:val="041330"/>
          <w:sz w:val="24"/>
          <w:szCs w:val="24"/>
        </w:rPr>
      </w:pPr>
      <w:r>
        <w:t xml:space="preserve">Once a professional management team is in place at the company, VV Fund III may seek to identify key personnel who have a vested interest in the long-term success of the business. Depending on the talent and interest level of these key personnel, we may choose to groom, train, and prepare this group of key personnel for an eventual management buyout. </w:t>
      </w:r>
    </w:p>
    <w:p>
      <w:pPr>
        <w:pStyle w:val="ListParagraph"/>
        <w:jc w:val="both"/>
      </w:pPr>
      <w:r>
        <w:t>一旦公司成立了专业的管理团队，VV Fund III可能会寻找对公司长期成功有既得利益的关键人员。根据这些关键人员的人才和兴趣水平，我们可以选择培训、培训和准备这组关键人员，以便最终进行管理层收购。</w:t>
      </w:r>
    </w:p>
    <w:p w14:paraId="7592C5C8" w14:textId="77777777" w:rsidR="0038693F" w:rsidRDefault="0038693F" w:rsidP="0038693F">
      <w:pPr>
        <w:pStyle w:val="ListParagraph"/>
        <w:numPr>
          <w:ilvl w:val="0"/>
          <w:numId w:val="2"/>
        </w:numPr>
        <w:shd w:val="clear" w:color="auto" w:fill="FFFFFF"/>
        <w:spacing w:after="0" w:line="240" w:lineRule="auto"/>
        <w:jc w:val="both"/>
        <w:rPr>
          <w:rFonts w:ascii="Californian FB" w:eastAsia="Times New Roman" w:hAnsi="Californian FB" w:cs="Arial"/>
          <w:color w:val="041330"/>
          <w:sz w:val="24"/>
          <w:szCs w:val="24"/>
        </w:rPr>
      </w:pPr>
      <w:r>
        <w:t>Sale to a PEG, Family Office, or Other Professional Investor</w:t>
      </w:r>
    </w:p>
    <w:p>
      <w:pPr>
        <w:pStyle w:val="ListParagraph"/>
        <w:jc w:val="both"/>
      </w:pPr>
      <w:r>
        <w:t>出售给PEG、家族理财办公室或其他专业投资者</w:t>
      </w:r>
    </w:p>
    <w:p w14:paraId="1ABA8C09" w14:textId="529D2237" w:rsidR="0038693F" w:rsidRDefault="0038693F" w:rsidP="0038693F">
      <w:pPr>
        <w:pStyle w:val="ListParagraph"/>
        <w:numPr>
          <w:ilvl w:val="1"/>
          <w:numId w:val="2"/>
        </w:numPr>
        <w:shd w:val="clear" w:color="auto" w:fill="FFFFFF"/>
        <w:spacing w:after="0" w:line="240" w:lineRule="auto"/>
        <w:jc w:val="both"/>
        <w:rPr>
          <w:rFonts w:ascii="Californian FB" w:eastAsia="Times New Roman" w:hAnsi="Californian FB" w:cs="Arial"/>
          <w:color w:val="041330"/>
          <w:sz w:val="24"/>
          <w:szCs w:val="24"/>
        </w:rPr>
      </w:pPr>
      <w:r>
        <w:t xml:space="preserve">The home healthcare industry is currently a highly sought-after acquisition target, attracting the interest of many fund managers and professional investment groups. The attractive long-term trends of this industry will continue to attract attention from professional investors for several decades. </w:t>
      </w:r>
    </w:p>
    <w:p>
      <w:pPr>
        <w:pStyle w:val="ListParagraph"/>
        <w:jc w:val="both"/>
      </w:pPr>
      <w:r>
        <w:t>家庭医疗行业目前是一个备受追捧的收购目标，吸引了许多基金经理和专业投资集团的兴趣。几十年来，这个行业具有吸引力的长期趋势将继续吸引专业投资者的关注。</w:t>
      </w:r>
    </w:p>
    <w:p w14:paraId="019AEAD9" w14:textId="77777777" w:rsidR="0038693F" w:rsidRDefault="0038693F" w:rsidP="0038693F">
      <w:pPr>
        <w:pStyle w:val="ListParagraph"/>
        <w:numPr>
          <w:ilvl w:val="0"/>
          <w:numId w:val="2"/>
        </w:numPr>
        <w:shd w:val="clear" w:color="auto" w:fill="FFFFFF"/>
        <w:spacing w:after="0" w:line="240" w:lineRule="auto"/>
        <w:jc w:val="both"/>
        <w:rPr>
          <w:rFonts w:ascii="Californian FB" w:eastAsia="Times New Roman" w:hAnsi="Californian FB" w:cs="Arial"/>
          <w:color w:val="041330"/>
          <w:sz w:val="24"/>
          <w:szCs w:val="24"/>
        </w:rPr>
      </w:pPr>
      <w:r>
        <w:t>Sale to Industry Competitor</w:t>
      </w:r>
    </w:p>
    <w:p>
      <w:pPr>
        <w:pStyle w:val="ListParagraph"/>
        <w:jc w:val="both"/>
      </w:pPr>
      <w:r>
        <w:t>面向行业竞争对手的销售</w:t>
      </w:r>
    </w:p>
    <w:p w14:paraId="2F303570" w14:textId="3336B9F8" w:rsidR="0038693F" w:rsidRPr="00336E49" w:rsidRDefault="0038693F" w:rsidP="0038693F">
      <w:pPr>
        <w:pStyle w:val="ListParagraph"/>
        <w:numPr>
          <w:ilvl w:val="1"/>
          <w:numId w:val="2"/>
        </w:numPr>
        <w:shd w:val="clear" w:color="auto" w:fill="FFFFFF"/>
        <w:spacing w:after="0" w:line="240" w:lineRule="auto"/>
        <w:jc w:val="both"/>
        <w:rPr>
          <w:rFonts w:ascii="Californian FB" w:eastAsia="Times New Roman" w:hAnsi="Californian FB" w:cs="Arial"/>
          <w:color w:val="041330"/>
          <w:sz w:val="24"/>
          <w:szCs w:val="24"/>
        </w:rPr>
      </w:pPr>
      <w:r>
        <w:t>The highly fragmented nature of this industry lends to a strong strategic growth strategy via consolidation and tuck-in acquisitions. We’ve seen significant M&amp;A activity in this space amongst existing competitors. Several large healthcare groups are actively growing their portfolio of services/geographies by acquiring or merging with established home healthcare operations.</w:t>
      </w:r>
    </w:p>
    <w:p>
      <w:pPr>
        <w:pStyle w:val="ListParagraph"/>
        <w:jc w:val="both"/>
      </w:pPr>
      <w:r>
        <w:t>该行业高度分散的性质，通过合并和大量收购，形成了强大的战略增长战略。我们在现有竞争对手中看到了这一领域的重大并购活动。一些大型医疗保健集团正在通过收购或合并已建立的家庭医疗保健业务，积极扩大其服务/地区组合。</w:t>
      </w:r>
    </w:p>
    <w:p w14:paraId="677EE2C7" w14:textId="69F52E46" w:rsidR="0038693F" w:rsidRDefault="0038693F" w:rsidP="0038693F">
      <w:pPr>
        <w:pStyle w:val="ListParagraph"/>
        <w:numPr>
          <w:ilvl w:val="0"/>
          <w:numId w:val="2"/>
        </w:numPr>
        <w:shd w:val="clear" w:color="auto" w:fill="FFFFFF"/>
        <w:spacing w:after="0" w:line="240" w:lineRule="auto"/>
        <w:jc w:val="both"/>
        <w:rPr>
          <w:rFonts w:ascii="Californian FB" w:eastAsia="Times New Roman" w:hAnsi="Californian FB" w:cs="Arial"/>
          <w:color w:val="041330"/>
          <w:sz w:val="24"/>
          <w:szCs w:val="24"/>
        </w:rPr>
      </w:pPr>
      <w:r>
        <w:t>Initial Public Offering (IPO)</w:t>
      </w:r>
    </w:p>
    <w:p>
      <w:pPr>
        <w:pStyle w:val="ListParagraph"/>
        <w:jc w:val="both"/>
      </w:pPr>
      <w:r>
        <w:t>首次公开发行（IPO）</w:t>
      </w:r>
    </w:p>
    <w:p w14:paraId="6ECAEC00" w14:textId="09CED083" w:rsidR="00237EAD" w:rsidRPr="00237EAD" w:rsidRDefault="0038693F" w:rsidP="0038693F">
      <w:pPr>
        <w:pStyle w:val="ListParagraph"/>
        <w:numPr>
          <w:ilvl w:val="1"/>
          <w:numId w:val="2"/>
        </w:numPr>
        <w:shd w:val="clear" w:color="auto" w:fill="FFFFFF"/>
        <w:spacing w:after="0" w:line="240" w:lineRule="auto"/>
        <w:jc w:val="both"/>
        <w:rPr>
          <w:rFonts w:ascii="Californian FB" w:eastAsia="Times New Roman" w:hAnsi="Californian FB" w:cs="Arial"/>
          <w:color w:val="041330"/>
          <w:sz w:val="24"/>
          <w:szCs w:val="24"/>
        </w:rPr>
      </w:pPr>
      <w:r>
        <w:t>An IPO will become a viable exit alternative once the company is able to implement a successful franchise strategy, capturing a nation-wide footprint.</w:t>
      </w:r>
    </w:p>
    <w:p>
      <w:pPr>
        <w:pStyle w:val="ListParagraph"/>
        <w:jc w:val="both"/>
      </w:pPr>
      <w:r>
        <w:t>一旦公司能够实施成功的特许经营战略，并在全国范围内占领市场，IPO将成为一种可行的退出选择。</w:t>
      </w:r>
    </w:p>
    <w:p w14:paraId="753C5E19" w14:textId="77777777" w:rsidR="003D75D6" w:rsidRPr="003E733C" w:rsidRDefault="003D75D6" w:rsidP="00947866">
      <w:pPr>
        <w:shd w:val="clear" w:color="auto" w:fill="FFFFFF"/>
        <w:spacing w:after="0" w:line="240" w:lineRule="auto"/>
        <w:jc w:val="both"/>
        <w:rPr>
          <w:rFonts w:ascii="Californian FB" w:eastAsia="Times New Roman" w:hAnsi="Californian FB" w:cs="Arial"/>
          <w:color w:val="041330"/>
          <w:sz w:val="24"/>
          <w:szCs w:val="24"/>
        </w:rPr>
      </w:pPr>
      <w:r/>
    </w:p>
    <w:p>
      <w:pPr>
        <w:jc w:val="both"/>
      </w:pPr>
    </w:p>
    <w:p w14:paraId="27F2E85C" w14:textId="54D10D17" w:rsidR="00C33ED6" w:rsidRPr="003E733C" w:rsidRDefault="00C33ED6" w:rsidP="00947866">
      <w:pPr>
        <w:shd w:val="clear" w:color="auto" w:fill="FFFFFF"/>
        <w:spacing w:after="0" w:line="240" w:lineRule="auto"/>
        <w:jc w:val="both"/>
        <w:rPr>
          <w:rFonts w:ascii="Californian FB" w:eastAsia="Times New Roman" w:hAnsi="Californian FB" w:cs="Arial"/>
          <w:color w:val="041330"/>
          <w:sz w:val="24"/>
          <w:szCs w:val="24"/>
        </w:rPr>
      </w:pPr>
      <w:r>
        <w:t>Reasons to Invest and Future Growth Potential:</w:t>
      </w:r>
    </w:p>
    <w:p>
      <w:pPr>
        <w:jc w:val="both"/>
      </w:pPr>
      <w:r>
        <w:t>投资理由和未来增长潜力：</w:t>
      </w:r>
    </w:p>
    <w:p w14:paraId="2D69969D" w14:textId="34F29F85" w:rsidR="0097509E" w:rsidRPr="0097509E" w:rsidRDefault="0097509E" w:rsidP="00975A53">
      <w:pPr>
        <w:pStyle w:val="ListParagraph"/>
        <w:numPr>
          <w:ilvl w:val="0"/>
          <w:numId w:val="2"/>
        </w:numPr>
        <w:shd w:val="clear" w:color="auto" w:fill="FFFFFF"/>
        <w:spacing w:after="0" w:line="240" w:lineRule="auto"/>
        <w:jc w:val="both"/>
        <w:rPr>
          <w:rFonts w:ascii="Californian FB" w:eastAsia="Times New Roman" w:hAnsi="Californian FB" w:cs="Arial"/>
          <w:color w:val="041330"/>
          <w:sz w:val="24"/>
          <w:szCs w:val="24"/>
        </w:rPr>
      </w:pPr>
      <w:r>
        <w:t xml:space="preserve">Professional and experienced executives and deal teams managing the due diligence, deal close, management transition, and ongoing operational efforts required to ensure a timely and successful outcome for VV Fund III’s LPs. </w:t>
      </w:r>
    </w:p>
    <w:p>
      <w:pPr>
        <w:pStyle w:val="ListParagraph"/>
        <w:jc w:val="both"/>
      </w:pPr>
      <w:r>
        <w:t>专业且经验丰富的高管和交易团队，负责管理尽职调查、交易结束、管理层过渡以及持续的运营工作，以确保VV Fund III的有限合伙人能够及时成功地取得成果。</w:t>
      </w:r>
    </w:p>
    <w:p w14:paraId="2CE92FE5" w14:textId="239BAADC" w:rsidR="00F03017" w:rsidRPr="00F03017" w:rsidRDefault="00151101" w:rsidP="00975A53">
      <w:pPr>
        <w:pStyle w:val="ListParagraph"/>
        <w:numPr>
          <w:ilvl w:val="0"/>
          <w:numId w:val="2"/>
        </w:numPr>
        <w:shd w:val="clear" w:color="auto" w:fill="FFFFFF"/>
        <w:spacing w:after="0" w:line="240" w:lineRule="auto"/>
        <w:jc w:val="both"/>
        <w:rPr>
          <w:rFonts w:ascii="Californian FB" w:eastAsia="Times New Roman" w:hAnsi="Californian FB" w:cs="Arial"/>
          <w:color w:val="041330"/>
          <w:sz w:val="24"/>
          <w:szCs w:val="24"/>
        </w:rPr>
      </w:pPr>
      <w:r>
        <w:t>Potential for larger scale franchising operations.</w:t>
      </w:r>
    </w:p>
    <w:p>
      <w:pPr>
        <w:pStyle w:val="ListParagraph"/>
        <w:jc w:val="both"/>
      </w:pPr>
      <w:r>
        <w:t>更大规模特许经营的潜力。</w:t>
      </w:r>
    </w:p>
    <w:p w14:paraId="79F0A2AB" w14:textId="7136809D" w:rsidR="00F03017" w:rsidRPr="00F03017" w:rsidRDefault="00151101" w:rsidP="00C33ED6">
      <w:pPr>
        <w:pStyle w:val="ListParagraph"/>
        <w:numPr>
          <w:ilvl w:val="0"/>
          <w:numId w:val="2"/>
        </w:numPr>
        <w:shd w:val="clear" w:color="auto" w:fill="FFFFFF"/>
        <w:spacing w:after="0" w:line="240" w:lineRule="auto"/>
        <w:jc w:val="both"/>
        <w:rPr>
          <w:rFonts w:ascii="Californian FB" w:eastAsia="Times New Roman" w:hAnsi="Californian FB" w:cs="Arial"/>
          <w:color w:val="041330"/>
          <w:sz w:val="24"/>
          <w:szCs w:val="24"/>
        </w:rPr>
      </w:pPr>
      <w:r>
        <w:t>Growth of a rapidly aging population ensures steady flow of patient referrals for the next 20-30 years</w:t>
      </w:r>
    </w:p>
    <w:p>
      <w:pPr>
        <w:pStyle w:val="ListParagraph"/>
        <w:jc w:val="both"/>
      </w:pPr>
      <w:r>
        <w:t>快速老龄化人口的增长确保了未来20-30年患者转诊的稳定流动。</w:t>
      </w:r>
    </w:p>
    <w:p w14:paraId="625C18F4" w14:textId="42A26E5E" w:rsidR="00F03017" w:rsidRPr="00B703A4" w:rsidRDefault="00151101" w:rsidP="00C33ED6">
      <w:pPr>
        <w:pStyle w:val="ListParagraph"/>
        <w:numPr>
          <w:ilvl w:val="0"/>
          <w:numId w:val="2"/>
        </w:numPr>
        <w:shd w:val="clear" w:color="auto" w:fill="FFFFFF"/>
        <w:spacing w:after="0" w:line="240" w:lineRule="auto"/>
        <w:jc w:val="both"/>
        <w:rPr>
          <w:rFonts w:ascii="Californian FB" w:eastAsia="Times New Roman" w:hAnsi="Californian FB" w:cs="Arial"/>
          <w:color w:val="041330"/>
          <w:sz w:val="24"/>
          <w:szCs w:val="24"/>
        </w:rPr>
      </w:pPr>
      <w:r>
        <w:t>Substantial government support for the home healthcare industry due to the strain and rising costs of traditional healthcare networks in the United States.</w:t>
      </w:r>
    </w:p>
    <w:p>
      <w:pPr>
        <w:pStyle w:val="ListParagraph"/>
        <w:jc w:val="both"/>
      </w:pPr>
      <w:r>
        <w:t>由于美国传统医疗网络的压力和成本上升，政府对家庭医疗行业提供了大量支持。</w:t>
      </w:r>
    </w:p>
    <w:p w14:paraId="6C70F6C5" w14:textId="7809CD9A" w:rsidR="00FA6D6A" w:rsidRPr="00B703A4" w:rsidRDefault="00FA6D6A" w:rsidP="00C33ED6">
      <w:pPr>
        <w:pStyle w:val="ListParagraph"/>
        <w:numPr>
          <w:ilvl w:val="0"/>
          <w:numId w:val="2"/>
        </w:numPr>
        <w:shd w:val="clear" w:color="auto" w:fill="FFFFFF"/>
        <w:spacing w:after="0" w:line="240" w:lineRule="auto"/>
        <w:jc w:val="both"/>
        <w:rPr>
          <w:rFonts w:ascii="Californian FB" w:eastAsia="Times New Roman" w:hAnsi="Californian FB" w:cs="Arial"/>
          <w:color w:val="041330"/>
          <w:sz w:val="24"/>
          <w:szCs w:val="24"/>
        </w:rPr>
      </w:pPr>
      <w:r>
        <w:t>Current market need for home healthcare services to support and supplement hospital-based care.</w:t>
      </w:r>
    </w:p>
    <w:p>
      <w:pPr>
        <w:pStyle w:val="ListParagraph"/>
        <w:jc w:val="both"/>
      </w:pPr>
      <w:r>
        <w:t>目前市场需要家庭医疗服务来支持和补充医院护理。</w:t>
      </w:r>
    </w:p>
    <w:p w14:paraId="5E8541F7" w14:textId="5775AD07" w:rsidR="003C49CF" w:rsidRPr="00F03017" w:rsidRDefault="009F078E" w:rsidP="00C33ED6">
      <w:pPr>
        <w:pStyle w:val="ListParagraph"/>
        <w:numPr>
          <w:ilvl w:val="0"/>
          <w:numId w:val="2"/>
        </w:numPr>
        <w:shd w:val="clear" w:color="auto" w:fill="FFFFFF"/>
        <w:spacing w:after="0" w:line="240" w:lineRule="auto"/>
        <w:jc w:val="both"/>
        <w:rPr>
          <w:rFonts w:ascii="Californian FB" w:eastAsia="Times New Roman" w:hAnsi="Californian FB" w:cs="Arial"/>
          <w:color w:val="041330"/>
          <w:sz w:val="24"/>
          <w:szCs w:val="24"/>
        </w:rPr>
      </w:pPr>
      <w:r>
        <w:t>Vega Ventures Management Team has identified potential, future investment opportunities through strategic technology development in support of healthcare services. Following initial fund success, an expanded and interconnected provider “network” may create an attractive environment for additional product and service offerings.</w:t>
      </w:r>
    </w:p>
    <w:p>
      <w:pPr>
        <w:pStyle w:val="ListParagraph"/>
        <w:jc w:val="both"/>
      </w:pPr>
      <w:r>
        <w:t>Vega Ventures管理团队通过支持医疗保健服务的战略技术开发确定了潜在的、未来的投资机会。在最初的基金成功后，一个扩大的、相互联系的供应商“网络”可能为额外的产品和服务提供一个有吸引力的环境。</w:t>
      </w:r>
    </w:p>
    <w:p w14:paraId="6E1682B4" w14:textId="77777777" w:rsidR="00F23CD7" w:rsidRPr="003E733C" w:rsidRDefault="00F23CD7" w:rsidP="00947866">
      <w:pPr>
        <w:shd w:val="clear" w:color="auto" w:fill="FFFFFF"/>
        <w:spacing w:after="0" w:line="240" w:lineRule="auto"/>
        <w:jc w:val="both"/>
        <w:rPr>
          <w:rFonts w:ascii="Californian FB" w:eastAsia="Times New Roman" w:hAnsi="Californian FB" w:cs="Arial"/>
          <w:color w:val="041330"/>
          <w:sz w:val="24"/>
          <w:szCs w:val="24"/>
        </w:rPr>
      </w:pPr>
      <w:r/>
    </w:p>
    <w:p>
      <w:pPr>
        <w:jc w:val="both"/>
      </w:pPr>
    </w:p>
    <w:p w14:paraId="70A1353D" w14:textId="77777777" w:rsidR="00C33ED6" w:rsidRPr="003E733C" w:rsidRDefault="00C33ED6" w:rsidP="00947866">
      <w:pPr>
        <w:shd w:val="clear" w:color="auto" w:fill="FFFFFF"/>
        <w:spacing w:after="0" w:line="240" w:lineRule="auto"/>
        <w:jc w:val="both"/>
        <w:rPr>
          <w:rFonts w:ascii="Californian FB" w:eastAsia="Times New Roman" w:hAnsi="Californian FB" w:cs="Arial"/>
          <w:color w:val="041330"/>
          <w:sz w:val="24"/>
          <w:szCs w:val="24"/>
        </w:rPr>
      </w:pPr>
      <w:r/>
    </w:p>
    <w:p>
      <w:pPr>
        <w:jc w:val="both"/>
      </w:pPr>
    </w:p>
    <w:p w14:paraId="624255C9" w14:textId="77777777" w:rsidR="008A5AA6" w:rsidRDefault="008A5AA6">
      <w:pPr>
        <w:rPr>
          <w:rFonts w:ascii="Californian FB" w:eastAsia="Times New Roman" w:hAnsi="Californian FB" w:cs="Arial"/>
          <w:b/>
          <w:i/>
          <w:color w:val="041330"/>
          <w:sz w:val="24"/>
          <w:szCs w:val="24"/>
          <w:u w:val="single"/>
        </w:rPr>
      </w:pPr>
      <w:r>
        <w:br/>
      </w:r>
    </w:p>
    <w:p>
      <w:pPr/>
      <w:r>
        <w:br/>
      </w:r>
    </w:p>
    <w:p w14:paraId="73845D1E" w14:textId="6A51E16F" w:rsidR="00C33ED6" w:rsidRDefault="00C33ED6" w:rsidP="00481FD3">
      <w:pPr>
        <w:shd w:val="clear" w:color="auto" w:fill="FFFFFF"/>
        <w:spacing w:after="0" w:line="240" w:lineRule="auto"/>
        <w:jc w:val="center"/>
        <w:rPr>
          <w:rFonts w:ascii="Californian FB" w:eastAsia="Times New Roman" w:hAnsi="Californian FB" w:cs="Arial"/>
          <w:color w:val="041330"/>
          <w:sz w:val="24"/>
          <w:szCs w:val="24"/>
        </w:rPr>
      </w:pPr>
      <w:r>
        <w:t>Disclaimer:</w:t>
      </w:r>
    </w:p>
    <w:p>
      <w:pPr>
        <w:jc w:val="center"/>
      </w:pPr>
      <w:r>
        <w:t>免责声明：</w:t>
      </w:r>
    </w:p>
    <w:p w14:paraId="5EC9AA20" w14:textId="774284C4" w:rsidR="00481FD3" w:rsidRPr="00481FD3" w:rsidRDefault="00645482" w:rsidP="00100A6A">
      <w:pPr>
        <w:shd w:val="clear" w:color="auto" w:fill="FFFFFF"/>
        <w:spacing w:after="0" w:line="240" w:lineRule="auto"/>
        <w:jc w:val="both"/>
        <w:rPr>
          <w:rFonts w:ascii="Californian FB" w:eastAsia="Times New Roman" w:hAnsi="Californian FB" w:cs="Arial"/>
          <w:sz w:val="24"/>
          <w:szCs w:val="24"/>
        </w:rPr>
      </w:pPr>
      <w:r>
        <w:t xml:space="preserve">This publication is for general circulation only and is intended to provide basic preliminary investment information to current and prospective investors. This publication does not form part of any offer or recommendation, nor does it consider the investment objectives, financial situation or needs of any specific person. Before committing to pursue an investment in any Vega Ventures acquisition target, please seek help from a financial adviser or similarly competent investment professional regarding the suitability and viability of any investment opportunity introduced by Vega Ventures. We encourage any prospective investor to read and understand the relevant investment offer documents as they become available, including the risk disclosures, which can be obtained upon request, and must be reviewed before participation in any Vega Ventures investment opportunity may commence. If you do not wish to seek professional financial advice, please consider carefully whether this investment opportunity is suitable for your particular risk appetite and investment objectives. Investment performance is not guaranteed, and investors are encouraged to take all necessary measures to understand the inherent investment risks and opportunities before making any investment decisions. </w:t>
      </w:r>
    </w:p>
    <w:p>
      <w:pPr>
        <w:jc w:val="both"/>
      </w:pPr>
      <w:r>
        <w:t>本出版物仅供一般流通，旨在向现有和潜在投资者提供基本的初步投资信息。本出版物不构成任何提议或建议的一部分，也不考虑任何特定人士的投资目标、财务状况或需求。在承诺对任何Vega Ventures收购目标进行投资之前，请向财务顾问或类似称职的投资专业人士寻求帮助，了解Vega Ventures引入的任何投资机会的适宜性和可行性。我们鼓励任何潜在投资者在相关投资要约文件可用时阅读和理解这些文件，包括风险披露（可根据要求获得），在开始参与任何Vega Ventures投资机会之前，必须对这些文件进行审查。如果您不希望寻求专业的财务建议，请仔细考虑此投资机会是否适合您的特定风险偏好和投资目标。不保证投资业绩，鼓励投资者在做出任何投资决策前采取一切必要措施了解固有的投资风险和机遇。</w:t>
      </w:r>
    </w:p>
    <w:sectPr w:rsidR="00481FD3" w:rsidRPr="00481FD3" w:rsidSect="00AD2FAE">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4852E" w14:textId="77777777" w:rsidR="00FD610D" w:rsidRDefault="00FD610D" w:rsidP="006A6B9F">
      <w:pPr>
        <w:spacing w:after="0" w:line="240" w:lineRule="auto"/>
      </w:pPr>
      <w:r>
        <w:separator/>
      </w:r>
    </w:p>
  </w:endnote>
  <w:endnote w:type="continuationSeparator" w:id="0">
    <w:p w14:paraId="373616D2" w14:textId="77777777" w:rsidR="00FD610D" w:rsidRDefault="00FD610D" w:rsidP="006A6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fornian FB">
    <w:panose1 w:val="0207040306080B03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alifornian FB" w:eastAsiaTheme="majorEastAsia" w:hAnsi="Californian FB" w:cstheme="majorBidi"/>
        <w:color w:val="041330"/>
      </w:rPr>
      <w:id w:val="103699721"/>
      <w:docPartObj>
        <w:docPartGallery w:val="Page Numbers (Bottom of Page)"/>
        <w:docPartUnique/>
      </w:docPartObj>
    </w:sdtPr>
    <w:sdtEndPr/>
    <w:sdtContent>
      <w:p w14:paraId="1BB5BB2D" w14:textId="77777777" w:rsidR="009C4922" w:rsidRPr="009C4922" w:rsidRDefault="009C4922">
        <w:pPr>
          <w:pStyle w:val="Footer"/>
          <w:jc w:val="center"/>
          <w:rPr>
            <w:rFonts w:ascii="Californian FB" w:eastAsiaTheme="majorEastAsia" w:hAnsi="Californian FB" w:cstheme="majorBidi"/>
            <w:color w:val="041330"/>
          </w:rPr>
        </w:pPr>
        <w:r w:rsidRPr="006A6B9F">
          <w:rPr>
            <w:rFonts w:ascii="Californian FB" w:hAnsi="Californian FB"/>
            <w:noProof/>
          </w:rPr>
          <mc:AlternateContent>
            <mc:Choice Requires="wps">
              <w:drawing>
                <wp:anchor distT="0" distB="0" distL="114300" distR="114300" simplePos="0" relativeHeight="251671552" behindDoc="0" locked="0" layoutInCell="1" allowOverlap="1" wp14:anchorId="4E78572E" wp14:editId="79B55B0C">
                  <wp:simplePos x="0" y="0"/>
                  <wp:positionH relativeFrom="column">
                    <wp:posOffset>5467562</wp:posOffset>
                  </wp:positionH>
                  <wp:positionV relativeFrom="paragraph">
                    <wp:posOffset>-685800</wp:posOffset>
                  </wp:positionV>
                  <wp:extent cx="819150" cy="819150"/>
                  <wp:effectExtent l="19050" t="19050" r="19050" b="19050"/>
                  <wp:wrapNone/>
                  <wp:docPr id="13" name="Half Frame 13"/>
                  <wp:cNvGraphicFramePr/>
                  <a:graphic xmlns:a="http://schemas.openxmlformats.org/drawingml/2006/main">
                    <a:graphicData uri="http://schemas.microsoft.com/office/word/2010/wordprocessingShape">
                      <wps:wsp>
                        <wps:cNvSpPr/>
                        <wps:spPr>
                          <a:xfrm rot="10800000">
                            <a:off x="0" y="0"/>
                            <a:ext cx="819150" cy="819150"/>
                          </a:xfrm>
                          <a:prstGeom prst="halfFrame">
                            <a:avLst>
                              <a:gd name="adj1" fmla="val 20724"/>
                              <a:gd name="adj2" fmla="val 19379"/>
                            </a:avLst>
                          </a:prstGeom>
                          <a:solidFill>
                            <a:srgbClr val="041330"/>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E3125" id="Half Frame 13" o:spid="_x0000_s1026" style="position:absolute;margin-left:430.5pt;margin-top:-54pt;width:64.5pt;height:64.5pt;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19150,819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" path="m,l819150,,649389,169761r-490646,l158743,660407,,819150,,xe" fillcolor="#041330" strokecolor="gray [1629]" strokeweight="1pt">
                  <v:stroke joinstyle="miter"/>
                  <v:path arrowok="t" o:connecttype="custom" o:connectlocs="0,0;819150,0;649389,169761;158743,169761;158743,660407;0,819150;0,0" o:connectangles="0,0,0,0,0,0,0"/>
                </v:shape>
              </w:pict>
            </mc:Fallback>
          </mc:AlternateContent>
        </w:r>
        <w:r w:rsidRPr="009C4922">
          <w:rPr>
            <w:rFonts w:ascii="Californian FB" w:eastAsiaTheme="majorEastAsia" w:hAnsi="Californian FB" w:cstheme="majorBidi"/>
            <w:color w:val="041330"/>
          </w:rPr>
          <w:t xml:space="preserve">~ </w:t>
        </w:r>
        <w:r w:rsidRPr="009C4922">
          <w:rPr>
            <w:rFonts w:ascii="Californian FB" w:eastAsiaTheme="minorEastAsia" w:hAnsi="Californian FB" w:cs="Times New Roman"/>
            <w:color w:val="041330"/>
          </w:rPr>
          <w:fldChar w:fldCharType="begin"/>
        </w:r>
        <w:r w:rsidRPr="009C4922">
          <w:rPr>
            <w:rFonts w:ascii="Californian FB" w:hAnsi="Californian FB"/>
            <w:color w:val="041330"/>
          </w:rPr>
          <w:instrText xml:space="preserve"> PAGE    \* MERGEFORMAT </w:instrText>
        </w:r>
        <w:r w:rsidRPr="009C4922">
          <w:rPr>
            <w:rFonts w:ascii="Californian FB" w:eastAsiaTheme="minorEastAsia" w:hAnsi="Californian FB" w:cs="Times New Roman"/>
            <w:color w:val="041330"/>
          </w:rPr>
          <w:fldChar w:fldCharType="separate"/>
        </w:r>
        <w:r w:rsidR="000B50F4" w:rsidRPr="000B50F4">
          <w:rPr>
            <w:rFonts w:ascii="Californian FB" w:eastAsiaTheme="majorEastAsia" w:hAnsi="Californian FB" w:cstheme="majorBidi"/>
            <w:noProof/>
            <w:color w:val="041330"/>
          </w:rPr>
          <w:t>5</w:t>
        </w:r>
        <w:r w:rsidRPr="009C4922">
          <w:rPr>
            <w:rFonts w:ascii="Californian FB" w:eastAsiaTheme="majorEastAsia" w:hAnsi="Californian FB" w:cstheme="majorBidi"/>
            <w:noProof/>
            <w:color w:val="041330"/>
          </w:rPr>
          <w:fldChar w:fldCharType="end"/>
        </w:r>
        <w:r w:rsidRPr="009C4922">
          <w:rPr>
            <w:rFonts w:ascii="Californian FB" w:eastAsiaTheme="majorEastAsia" w:hAnsi="Californian FB" w:cstheme="majorBidi"/>
            <w:color w:val="041330"/>
          </w:rPr>
          <w:t xml:space="preserve"> ~</w:t>
        </w:r>
      </w:p>
    </w:sdtContent>
  </w:sdt>
  <w:p w14:paraId="25DA6CAA" w14:textId="77777777" w:rsidR="00AD2FAE" w:rsidRDefault="00AD2F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alifornian FB" w:eastAsiaTheme="majorEastAsia" w:hAnsi="Californian FB" w:cstheme="majorBidi"/>
        <w:color w:val="041330"/>
      </w:rPr>
      <w:id w:val="-309561868"/>
      <w:docPartObj>
        <w:docPartGallery w:val="Page Numbers (Bottom of Page)"/>
        <w:docPartUnique/>
      </w:docPartObj>
    </w:sdtPr>
    <w:sdtEndPr/>
    <w:sdtContent>
      <w:p w14:paraId="47B72C43" w14:textId="77777777" w:rsidR="009C4922" w:rsidRPr="009C4922" w:rsidRDefault="009C4922">
        <w:pPr>
          <w:pStyle w:val="Footer"/>
          <w:jc w:val="center"/>
          <w:rPr>
            <w:rFonts w:ascii="Californian FB" w:eastAsiaTheme="majorEastAsia" w:hAnsi="Californian FB" w:cstheme="majorBidi"/>
            <w:color w:val="041330"/>
          </w:rPr>
        </w:pPr>
        <w:r w:rsidRPr="006A6B9F">
          <w:rPr>
            <w:rFonts w:ascii="Californian FB" w:hAnsi="Californian FB"/>
            <w:noProof/>
          </w:rPr>
          <mc:AlternateContent>
            <mc:Choice Requires="wps">
              <w:drawing>
                <wp:anchor distT="0" distB="0" distL="114300" distR="114300" simplePos="0" relativeHeight="251673600" behindDoc="0" locked="0" layoutInCell="1" allowOverlap="1" wp14:anchorId="318DCE4F" wp14:editId="283074A2">
                  <wp:simplePos x="0" y="0"/>
                  <wp:positionH relativeFrom="column">
                    <wp:posOffset>5471886</wp:posOffset>
                  </wp:positionH>
                  <wp:positionV relativeFrom="paragraph">
                    <wp:posOffset>-697230</wp:posOffset>
                  </wp:positionV>
                  <wp:extent cx="819150" cy="819150"/>
                  <wp:effectExtent l="19050" t="19050" r="19050" b="19050"/>
                  <wp:wrapNone/>
                  <wp:docPr id="14" name="Half Frame 14"/>
                  <wp:cNvGraphicFramePr/>
                  <a:graphic xmlns:a="http://schemas.openxmlformats.org/drawingml/2006/main">
                    <a:graphicData uri="http://schemas.microsoft.com/office/word/2010/wordprocessingShape">
                      <wps:wsp>
                        <wps:cNvSpPr/>
                        <wps:spPr>
                          <a:xfrm rot="10800000">
                            <a:off x="0" y="0"/>
                            <a:ext cx="819150" cy="819150"/>
                          </a:xfrm>
                          <a:prstGeom prst="halfFrame">
                            <a:avLst>
                              <a:gd name="adj1" fmla="val 20724"/>
                              <a:gd name="adj2" fmla="val 19379"/>
                            </a:avLst>
                          </a:prstGeom>
                          <a:solidFill>
                            <a:srgbClr val="041330"/>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81501" id="Half Frame 14" o:spid="_x0000_s1026" style="position:absolute;margin-left:430.85pt;margin-top:-54.9pt;width:64.5pt;height:64.5pt;rotation:18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19150,819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" path="m,l819150,,649389,169761r-490646,l158743,660407,,819150,,xe" fillcolor="#041330" strokecolor="gray [1629]" strokeweight="1pt">
                  <v:stroke joinstyle="miter"/>
                  <v:path arrowok="t" o:connecttype="custom" o:connectlocs="0,0;819150,0;649389,169761;158743,169761;158743,660407;0,819150;0,0" o:connectangles="0,0,0,0,0,0,0"/>
                </v:shape>
              </w:pict>
            </mc:Fallback>
          </mc:AlternateContent>
        </w:r>
        <w:r w:rsidRPr="009C4922">
          <w:rPr>
            <w:rFonts w:ascii="Californian FB" w:eastAsiaTheme="majorEastAsia" w:hAnsi="Californian FB" w:cstheme="majorBidi"/>
            <w:color w:val="041330"/>
          </w:rPr>
          <w:t xml:space="preserve">~ </w:t>
        </w:r>
        <w:r w:rsidRPr="009C4922">
          <w:rPr>
            <w:rFonts w:ascii="Californian FB" w:eastAsiaTheme="minorEastAsia" w:hAnsi="Californian FB" w:cs="Times New Roman"/>
            <w:color w:val="041330"/>
          </w:rPr>
          <w:fldChar w:fldCharType="begin"/>
        </w:r>
        <w:r w:rsidRPr="009C4922">
          <w:rPr>
            <w:rFonts w:ascii="Californian FB" w:hAnsi="Californian FB"/>
            <w:color w:val="041330"/>
          </w:rPr>
          <w:instrText xml:space="preserve"> PAGE    \* MERGEFORMAT </w:instrText>
        </w:r>
        <w:r w:rsidRPr="009C4922">
          <w:rPr>
            <w:rFonts w:ascii="Californian FB" w:eastAsiaTheme="minorEastAsia" w:hAnsi="Californian FB" w:cs="Times New Roman"/>
            <w:color w:val="041330"/>
          </w:rPr>
          <w:fldChar w:fldCharType="separate"/>
        </w:r>
        <w:r w:rsidR="000B50F4" w:rsidRPr="000B50F4">
          <w:rPr>
            <w:rFonts w:ascii="Californian FB" w:eastAsiaTheme="majorEastAsia" w:hAnsi="Californian FB" w:cstheme="majorBidi"/>
            <w:noProof/>
            <w:color w:val="041330"/>
          </w:rPr>
          <w:t>1</w:t>
        </w:r>
        <w:r w:rsidRPr="009C4922">
          <w:rPr>
            <w:rFonts w:ascii="Californian FB" w:eastAsiaTheme="majorEastAsia" w:hAnsi="Californian FB" w:cstheme="majorBidi"/>
            <w:noProof/>
            <w:color w:val="041330"/>
          </w:rPr>
          <w:fldChar w:fldCharType="end"/>
        </w:r>
        <w:r w:rsidRPr="009C4922">
          <w:rPr>
            <w:rFonts w:ascii="Californian FB" w:eastAsiaTheme="majorEastAsia" w:hAnsi="Californian FB" w:cstheme="majorBidi"/>
            <w:color w:val="041330"/>
          </w:rPr>
          <w:t xml:space="preserve"> ~</w:t>
        </w:r>
      </w:p>
    </w:sdtContent>
  </w:sdt>
  <w:p w14:paraId="5929D790" w14:textId="77777777" w:rsidR="00AD2FAE" w:rsidRPr="009C4922" w:rsidRDefault="00AD2FAE">
    <w:pPr>
      <w:pStyle w:val="Footer"/>
      <w:rPr>
        <w:rFonts w:ascii="Californian FB" w:hAnsi="Californian FB"/>
        <w:color w:val="04133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3F8542" w14:textId="77777777" w:rsidR="00FD610D" w:rsidRDefault="00FD610D" w:rsidP="006A6B9F">
      <w:pPr>
        <w:spacing w:after="0" w:line="240" w:lineRule="auto"/>
      </w:pPr>
      <w:r>
        <w:separator/>
      </w:r>
    </w:p>
  </w:footnote>
  <w:footnote w:type="continuationSeparator" w:id="0">
    <w:p w14:paraId="60E7F590" w14:textId="77777777" w:rsidR="00FD610D" w:rsidRDefault="00FD610D" w:rsidP="006A6B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CE77C" w14:textId="77777777" w:rsidR="006A6B9F" w:rsidRDefault="00AD2FAE">
    <w:pPr>
      <w:pStyle w:val="Header"/>
    </w:pPr>
    <w:r w:rsidRPr="006A6B9F">
      <w:rPr>
        <w:rFonts w:ascii="Californian FB" w:hAnsi="Californian FB"/>
        <w:noProof/>
      </w:rPr>
      <mc:AlternateContent>
        <mc:Choice Requires="wps">
          <w:drawing>
            <wp:anchor distT="0" distB="0" distL="114300" distR="114300" simplePos="0" relativeHeight="251659264" behindDoc="0" locked="0" layoutInCell="1" allowOverlap="1" wp14:anchorId="0E086E19" wp14:editId="74745B4B">
              <wp:simplePos x="0" y="0"/>
              <wp:positionH relativeFrom="column">
                <wp:posOffset>-276437</wp:posOffset>
              </wp:positionH>
              <wp:positionV relativeFrom="paragraph">
                <wp:posOffset>121920</wp:posOffset>
              </wp:positionV>
              <wp:extent cx="819150" cy="819150"/>
              <wp:effectExtent l="0" t="0" r="38100" b="38100"/>
              <wp:wrapNone/>
              <wp:docPr id="2" name="Half Frame 2"/>
              <wp:cNvGraphicFramePr/>
              <a:graphic xmlns:a="http://schemas.openxmlformats.org/drawingml/2006/main">
                <a:graphicData uri="http://schemas.microsoft.com/office/word/2010/wordprocessingShape">
                  <wps:wsp>
                    <wps:cNvSpPr/>
                    <wps:spPr>
                      <a:xfrm>
                        <a:off x="0" y="0"/>
                        <a:ext cx="819150" cy="819150"/>
                      </a:xfrm>
                      <a:prstGeom prst="halfFrame">
                        <a:avLst>
                          <a:gd name="adj1" fmla="val 20724"/>
                          <a:gd name="adj2" fmla="val 19379"/>
                        </a:avLst>
                      </a:prstGeom>
                      <a:solidFill>
                        <a:srgbClr val="041330"/>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C159E" id="Half Frame 2" o:spid="_x0000_s1026" style="position:absolute;margin-left:-21.75pt;margin-top:9.6pt;width:64.5pt;height: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19150,819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" path="m,l819150,,649389,169761r-490646,l158743,660407,,819150,,xe" fillcolor="#041330" strokecolor="gray [1629]" strokeweight="1pt">
              <v:stroke joinstyle="miter"/>
              <v:path arrowok="t" o:connecttype="custom" o:connectlocs="0,0;819150,0;649389,169761;158743,169761;158743,660407;0,819150;0,0" o:connectangles="0,0,0,0,0,0,0"/>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8B445" w14:textId="4FFF1E68" w:rsidR="00AD2FAE" w:rsidRDefault="00ED5C75">
    <w:pPr>
      <w:pStyle w:val="Header"/>
    </w:pPr>
    <w:r>
      <w:rPr>
        <w:noProof/>
      </w:rPr>
      <w:drawing>
        <wp:anchor distT="0" distB="0" distL="114300" distR="114300" simplePos="0" relativeHeight="251665408" behindDoc="1" locked="0" layoutInCell="1" allowOverlap="1" wp14:anchorId="71C15AF9" wp14:editId="58A69325">
          <wp:simplePos x="0" y="0"/>
          <wp:positionH relativeFrom="column">
            <wp:posOffset>2725102</wp:posOffset>
          </wp:positionH>
          <wp:positionV relativeFrom="paragraph">
            <wp:posOffset>97790</wp:posOffset>
          </wp:positionV>
          <wp:extent cx="3596005" cy="774700"/>
          <wp:effectExtent l="0" t="0" r="4445"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V.PNG"/>
                  <pic:cNvPicPr/>
                </pic:nvPicPr>
                <pic:blipFill>
                  <a:blip r:embed="rId1">
                    <a:extLst>
                      <a:ext uri="{28A0092B-C50C-407E-A947-70E740481C1C}">
                        <a14:useLocalDpi xmlns:a14="http://schemas.microsoft.com/office/drawing/2010/main" val="0"/>
                      </a:ext>
                    </a:extLst>
                  </a:blip>
                  <a:stretch>
                    <a:fillRect/>
                  </a:stretch>
                </pic:blipFill>
                <pic:spPr>
                  <a:xfrm>
                    <a:off x="0" y="0"/>
                    <a:ext cx="3596005" cy="774700"/>
                  </a:xfrm>
                  <a:prstGeom prst="rect">
                    <a:avLst/>
                  </a:prstGeom>
                </pic:spPr>
              </pic:pic>
            </a:graphicData>
          </a:graphic>
          <wp14:sizeRelH relativeFrom="margin">
            <wp14:pctWidth>0</wp14:pctWidth>
          </wp14:sizeRelH>
          <wp14:sizeRelV relativeFrom="margin">
            <wp14:pctHeight>0</wp14:pctHeight>
          </wp14:sizeRelV>
        </wp:anchor>
      </w:drawing>
    </w:r>
    <w:r w:rsidR="00AF4FC5" w:rsidRPr="006A6B9F">
      <w:rPr>
        <w:rFonts w:ascii="Californian FB" w:hAnsi="Californian FB"/>
        <w:noProof/>
      </w:rPr>
      <mc:AlternateContent>
        <mc:Choice Requires="wps">
          <w:drawing>
            <wp:anchor distT="0" distB="0" distL="114300" distR="114300" simplePos="0" relativeHeight="251667456" behindDoc="0" locked="0" layoutInCell="1" allowOverlap="1" wp14:anchorId="07F802F9" wp14:editId="14E6B1FD">
              <wp:simplePos x="0" y="0"/>
              <wp:positionH relativeFrom="column">
                <wp:posOffset>-280035</wp:posOffset>
              </wp:positionH>
              <wp:positionV relativeFrom="paragraph">
                <wp:posOffset>120559</wp:posOffset>
              </wp:positionV>
              <wp:extent cx="819150" cy="819150"/>
              <wp:effectExtent l="0" t="0" r="38100" b="38100"/>
              <wp:wrapNone/>
              <wp:docPr id="8" name="Half Frame 8"/>
              <wp:cNvGraphicFramePr/>
              <a:graphic xmlns:a="http://schemas.openxmlformats.org/drawingml/2006/main">
                <a:graphicData uri="http://schemas.microsoft.com/office/word/2010/wordprocessingShape">
                  <wps:wsp>
                    <wps:cNvSpPr/>
                    <wps:spPr>
                      <a:xfrm>
                        <a:off x="0" y="0"/>
                        <a:ext cx="819150" cy="819150"/>
                      </a:xfrm>
                      <a:prstGeom prst="halfFrame">
                        <a:avLst>
                          <a:gd name="adj1" fmla="val 20724"/>
                          <a:gd name="adj2" fmla="val 19379"/>
                        </a:avLst>
                      </a:prstGeom>
                      <a:solidFill>
                        <a:srgbClr val="041330"/>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747BB" id="Half Frame 8" o:spid="_x0000_s1026" style="position:absolute;margin-left:-22.05pt;margin-top:9.5pt;width:64.5pt;height:6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19150,819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" path="m,l819150,,649389,169761r-490646,l158743,660407,,819150,,xe" fillcolor="#041330" strokecolor="gray [1629]" strokeweight="1pt">
              <v:stroke joinstyle="miter"/>
              <v:path arrowok="t" o:connecttype="custom" o:connectlocs="0,0;819150,0;649389,169761;158743,169761;158743,660407;0,819150;0,0" o:connectangles="0,0,0,0,0,0,0"/>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65D15"/>
    <w:multiLevelType w:val="hybridMultilevel"/>
    <w:tmpl w:val="DB2E182C"/>
    <w:lvl w:ilvl="0" w:tplc="A29CE000">
      <w:numFmt w:val="bullet"/>
      <w:lvlText w:val="-"/>
      <w:lvlJc w:val="left"/>
      <w:pPr>
        <w:ind w:left="360" w:hanging="360"/>
      </w:pPr>
      <w:rPr>
        <w:rFonts w:ascii="Californian FB" w:eastAsia="Times New Roman" w:hAnsi="Californian FB"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6CE46FE"/>
    <w:multiLevelType w:val="hybridMultilevel"/>
    <w:tmpl w:val="E362BF18"/>
    <w:lvl w:ilvl="0" w:tplc="0260657C">
      <w:numFmt w:val="bullet"/>
      <w:lvlText w:val="-"/>
      <w:lvlJc w:val="left"/>
      <w:pPr>
        <w:ind w:left="720" w:hanging="360"/>
      </w:pPr>
      <w:rPr>
        <w:rFonts w:ascii="Californian FB" w:eastAsia="Times New Roman" w:hAnsi="Californian FB"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B9F"/>
    <w:rsid w:val="000024BB"/>
    <w:rsid w:val="000154FA"/>
    <w:rsid w:val="00025498"/>
    <w:rsid w:val="0003264B"/>
    <w:rsid w:val="0005497B"/>
    <w:rsid w:val="000864B4"/>
    <w:rsid w:val="000A2480"/>
    <w:rsid w:val="000A6354"/>
    <w:rsid w:val="000B50F4"/>
    <w:rsid w:val="000B6238"/>
    <w:rsid w:val="000E0318"/>
    <w:rsid w:val="000E6B19"/>
    <w:rsid w:val="000F682C"/>
    <w:rsid w:val="00100A6A"/>
    <w:rsid w:val="00104D18"/>
    <w:rsid w:val="001060E9"/>
    <w:rsid w:val="001151A4"/>
    <w:rsid w:val="00121BB2"/>
    <w:rsid w:val="001261CD"/>
    <w:rsid w:val="001328AF"/>
    <w:rsid w:val="00151101"/>
    <w:rsid w:val="00153CA2"/>
    <w:rsid w:val="001738E1"/>
    <w:rsid w:val="00173967"/>
    <w:rsid w:val="001B064A"/>
    <w:rsid w:val="001B2254"/>
    <w:rsid w:val="001C1750"/>
    <w:rsid w:val="001C3D0B"/>
    <w:rsid w:val="001E0183"/>
    <w:rsid w:val="001E0501"/>
    <w:rsid w:val="0021227C"/>
    <w:rsid w:val="00237EAD"/>
    <w:rsid w:val="00251BB2"/>
    <w:rsid w:val="00251C3D"/>
    <w:rsid w:val="00271C2A"/>
    <w:rsid w:val="00286649"/>
    <w:rsid w:val="00293604"/>
    <w:rsid w:val="002A0200"/>
    <w:rsid w:val="002A1624"/>
    <w:rsid w:val="002B0E44"/>
    <w:rsid w:val="002B54E3"/>
    <w:rsid w:val="002C3AF0"/>
    <w:rsid w:val="002E3F10"/>
    <w:rsid w:val="002E3F5D"/>
    <w:rsid w:val="002E40A5"/>
    <w:rsid w:val="002F62E6"/>
    <w:rsid w:val="002F68D4"/>
    <w:rsid w:val="00306205"/>
    <w:rsid w:val="00324DBA"/>
    <w:rsid w:val="003265B1"/>
    <w:rsid w:val="00336E49"/>
    <w:rsid w:val="003455A5"/>
    <w:rsid w:val="00361236"/>
    <w:rsid w:val="003647D3"/>
    <w:rsid w:val="003752D7"/>
    <w:rsid w:val="0038693F"/>
    <w:rsid w:val="003B4A04"/>
    <w:rsid w:val="003C1AB6"/>
    <w:rsid w:val="003C49CF"/>
    <w:rsid w:val="003D233A"/>
    <w:rsid w:val="003D75D6"/>
    <w:rsid w:val="003E733C"/>
    <w:rsid w:val="003F04E4"/>
    <w:rsid w:val="003F1151"/>
    <w:rsid w:val="003F5193"/>
    <w:rsid w:val="0045191B"/>
    <w:rsid w:val="00472B58"/>
    <w:rsid w:val="00481FD3"/>
    <w:rsid w:val="0049417B"/>
    <w:rsid w:val="004A4C93"/>
    <w:rsid w:val="004F7433"/>
    <w:rsid w:val="00506D69"/>
    <w:rsid w:val="00547A2B"/>
    <w:rsid w:val="005523C9"/>
    <w:rsid w:val="0056594A"/>
    <w:rsid w:val="00565CF7"/>
    <w:rsid w:val="0057054D"/>
    <w:rsid w:val="005A32D5"/>
    <w:rsid w:val="005B6BE3"/>
    <w:rsid w:val="005C1CC3"/>
    <w:rsid w:val="005C496A"/>
    <w:rsid w:val="005D401B"/>
    <w:rsid w:val="005F20AB"/>
    <w:rsid w:val="00617EBC"/>
    <w:rsid w:val="00622A76"/>
    <w:rsid w:val="006320DF"/>
    <w:rsid w:val="00632595"/>
    <w:rsid w:val="00640AB8"/>
    <w:rsid w:val="00645482"/>
    <w:rsid w:val="006603C3"/>
    <w:rsid w:val="00672980"/>
    <w:rsid w:val="0067501A"/>
    <w:rsid w:val="006845DD"/>
    <w:rsid w:val="00686B99"/>
    <w:rsid w:val="006A5AAA"/>
    <w:rsid w:val="006A6B9F"/>
    <w:rsid w:val="006C0DF9"/>
    <w:rsid w:val="006E79C7"/>
    <w:rsid w:val="006F026C"/>
    <w:rsid w:val="00733555"/>
    <w:rsid w:val="00737116"/>
    <w:rsid w:val="00745A54"/>
    <w:rsid w:val="00751DB5"/>
    <w:rsid w:val="007713CA"/>
    <w:rsid w:val="00780366"/>
    <w:rsid w:val="00790217"/>
    <w:rsid w:val="007B6185"/>
    <w:rsid w:val="007D7039"/>
    <w:rsid w:val="007F45FE"/>
    <w:rsid w:val="008011D1"/>
    <w:rsid w:val="0082333F"/>
    <w:rsid w:val="008343B6"/>
    <w:rsid w:val="008521B1"/>
    <w:rsid w:val="00865FB7"/>
    <w:rsid w:val="00871888"/>
    <w:rsid w:val="00884F02"/>
    <w:rsid w:val="00896851"/>
    <w:rsid w:val="008A2B37"/>
    <w:rsid w:val="008A5AA6"/>
    <w:rsid w:val="008C3F45"/>
    <w:rsid w:val="008D24AA"/>
    <w:rsid w:val="008D2871"/>
    <w:rsid w:val="008E3A63"/>
    <w:rsid w:val="009418BD"/>
    <w:rsid w:val="00947866"/>
    <w:rsid w:val="00952671"/>
    <w:rsid w:val="00953EA8"/>
    <w:rsid w:val="00957663"/>
    <w:rsid w:val="00961900"/>
    <w:rsid w:val="0097509E"/>
    <w:rsid w:val="00975A53"/>
    <w:rsid w:val="00993B6A"/>
    <w:rsid w:val="009B2912"/>
    <w:rsid w:val="009C4922"/>
    <w:rsid w:val="009D514D"/>
    <w:rsid w:val="009F078E"/>
    <w:rsid w:val="00A1634B"/>
    <w:rsid w:val="00A210AA"/>
    <w:rsid w:val="00A337EC"/>
    <w:rsid w:val="00A536E5"/>
    <w:rsid w:val="00A6656E"/>
    <w:rsid w:val="00A668CE"/>
    <w:rsid w:val="00A91B5A"/>
    <w:rsid w:val="00A94051"/>
    <w:rsid w:val="00AB0E94"/>
    <w:rsid w:val="00AB5976"/>
    <w:rsid w:val="00AC683D"/>
    <w:rsid w:val="00AD2FAE"/>
    <w:rsid w:val="00AD4A65"/>
    <w:rsid w:val="00AF4FC5"/>
    <w:rsid w:val="00B32A39"/>
    <w:rsid w:val="00B432C7"/>
    <w:rsid w:val="00B508BC"/>
    <w:rsid w:val="00B56A1A"/>
    <w:rsid w:val="00B703A4"/>
    <w:rsid w:val="00B7072F"/>
    <w:rsid w:val="00B87951"/>
    <w:rsid w:val="00BA3B39"/>
    <w:rsid w:val="00BD2113"/>
    <w:rsid w:val="00BE30DC"/>
    <w:rsid w:val="00BE3E43"/>
    <w:rsid w:val="00C25703"/>
    <w:rsid w:val="00C33ED6"/>
    <w:rsid w:val="00C44395"/>
    <w:rsid w:val="00C50E56"/>
    <w:rsid w:val="00C62C35"/>
    <w:rsid w:val="00C6578B"/>
    <w:rsid w:val="00C74BCD"/>
    <w:rsid w:val="00C767DC"/>
    <w:rsid w:val="00C92DBA"/>
    <w:rsid w:val="00CF45E5"/>
    <w:rsid w:val="00D01FA2"/>
    <w:rsid w:val="00D0546E"/>
    <w:rsid w:val="00D07ED7"/>
    <w:rsid w:val="00D13B6E"/>
    <w:rsid w:val="00D27093"/>
    <w:rsid w:val="00D41CD2"/>
    <w:rsid w:val="00D45B68"/>
    <w:rsid w:val="00D50159"/>
    <w:rsid w:val="00D72AF2"/>
    <w:rsid w:val="00D80DDA"/>
    <w:rsid w:val="00D910D9"/>
    <w:rsid w:val="00D9462A"/>
    <w:rsid w:val="00DA33D7"/>
    <w:rsid w:val="00DB7995"/>
    <w:rsid w:val="00DC2EB0"/>
    <w:rsid w:val="00DD0118"/>
    <w:rsid w:val="00DE3E6C"/>
    <w:rsid w:val="00DE448D"/>
    <w:rsid w:val="00E105B5"/>
    <w:rsid w:val="00E243B9"/>
    <w:rsid w:val="00E272C8"/>
    <w:rsid w:val="00E31D86"/>
    <w:rsid w:val="00E3633C"/>
    <w:rsid w:val="00E46FE6"/>
    <w:rsid w:val="00E80AAE"/>
    <w:rsid w:val="00E82CF8"/>
    <w:rsid w:val="00E91239"/>
    <w:rsid w:val="00EA08E3"/>
    <w:rsid w:val="00EA22FC"/>
    <w:rsid w:val="00EC0980"/>
    <w:rsid w:val="00EC4BFC"/>
    <w:rsid w:val="00ED2F97"/>
    <w:rsid w:val="00ED5C75"/>
    <w:rsid w:val="00EE071F"/>
    <w:rsid w:val="00EF3D65"/>
    <w:rsid w:val="00F014BC"/>
    <w:rsid w:val="00F03017"/>
    <w:rsid w:val="00F04239"/>
    <w:rsid w:val="00F23CD7"/>
    <w:rsid w:val="00F3641E"/>
    <w:rsid w:val="00F60FCE"/>
    <w:rsid w:val="00F61E7E"/>
    <w:rsid w:val="00F8634E"/>
    <w:rsid w:val="00F87C2D"/>
    <w:rsid w:val="00FA5BEB"/>
    <w:rsid w:val="00FA6D6A"/>
    <w:rsid w:val="00FB465D"/>
    <w:rsid w:val="00FB4754"/>
    <w:rsid w:val="00FC0938"/>
    <w:rsid w:val="00FD6018"/>
    <w:rsid w:val="00FD610D"/>
    <w:rsid w:val="00FE090F"/>
    <w:rsid w:val="00FE6E28"/>
    <w:rsid w:val="00FF18D0"/>
    <w:rsid w:val="00FF2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ADD4308"/>
  <w15:chartTrackingRefBased/>
  <w15:docId w15:val="{BD790D95-8063-4870-9668-70DB78A45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6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B9F"/>
  </w:style>
  <w:style w:type="paragraph" w:styleId="Footer">
    <w:name w:val="footer"/>
    <w:basedOn w:val="Normal"/>
    <w:link w:val="FooterChar"/>
    <w:uiPriority w:val="99"/>
    <w:unhideWhenUsed/>
    <w:rsid w:val="006A6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B9F"/>
  </w:style>
  <w:style w:type="table" w:styleId="TableGrid">
    <w:name w:val="Table Grid"/>
    <w:basedOn w:val="TableNormal"/>
    <w:uiPriority w:val="39"/>
    <w:rsid w:val="006A6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455A5"/>
  </w:style>
  <w:style w:type="character" w:customStyle="1" w:styleId="aqj">
    <w:name w:val="aqj"/>
    <w:basedOn w:val="DefaultParagraphFont"/>
    <w:rsid w:val="003455A5"/>
  </w:style>
  <w:style w:type="character" w:styleId="Hyperlink">
    <w:name w:val="Hyperlink"/>
    <w:basedOn w:val="DefaultParagraphFont"/>
    <w:uiPriority w:val="99"/>
    <w:unhideWhenUsed/>
    <w:rsid w:val="003455A5"/>
    <w:rPr>
      <w:color w:val="0000FF"/>
      <w:u w:val="single"/>
    </w:rPr>
  </w:style>
  <w:style w:type="paragraph" w:styleId="ListParagraph">
    <w:name w:val="List Paragraph"/>
    <w:basedOn w:val="Normal"/>
    <w:uiPriority w:val="34"/>
    <w:qFormat/>
    <w:rsid w:val="00293604"/>
    <w:pPr>
      <w:ind w:left="720"/>
      <w:contextualSpacing/>
    </w:pPr>
  </w:style>
  <w:style w:type="table" w:styleId="GridTable4-Accent1">
    <w:name w:val="Grid Table 4 Accent 1"/>
    <w:basedOn w:val="TableNormal"/>
    <w:uiPriority w:val="49"/>
    <w:rsid w:val="003E733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1">
    <w:name w:val="List Table 4 Accent 1"/>
    <w:basedOn w:val="TableNormal"/>
    <w:uiPriority w:val="49"/>
    <w:rsid w:val="003E733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
    <w:name w:val="List Table 6 Colorful"/>
    <w:basedOn w:val="TableNormal"/>
    <w:uiPriority w:val="51"/>
    <w:rsid w:val="003E733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3E733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3E733C"/>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alloonText">
    <w:name w:val="Balloon Text"/>
    <w:basedOn w:val="Normal"/>
    <w:link w:val="BalloonTextChar"/>
    <w:uiPriority w:val="99"/>
    <w:semiHidden/>
    <w:unhideWhenUsed/>
    <w:rsid w:val="003C49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9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924261">
      <w:bodyDiv w:val="1"/>
      <w:marLeft w:val="0"/>
      <w:marRight w:val="0"/>
      <w:marTop w:val="0"/>
      <w:marBottom w:val="0"/>
      <w:divBdr>
        <w:top w:val="none" w:sz="0" w:space="0" w:color="auto"/>
        <w:left w:val="none" w:sz="0" w:space="0" w:color="auto"/>
        <w:bottom w:val="none" w:sz="0" w:space="0" w:color="auto"/>
        <w:right w:val="none" w:sz="0" w:space="0" w:color="auto"/>
      </w:divBdr>
      <w:divsChild>
        <w:div w:id="1603760243">
          <w:marLeft w:val="0"/>
          <w:marRight w:val="0"/>
          <w:marTop w:val="0"/>
          <w:marBottom w:val="0"/>
          <w:divBdr>
            <w:top w:val="none" w:sz="0" w:space="0" w:color="auto"/>
            <w:left w:val="none" w:sz="0" w:space="0" w:color="auto"/>
            <w:bottom w:val="none" w:sz="0" w:space="0" w:color="auto"/>
            <w:right w:val="none" w:sz="0" w:space="0" w:color="auto"/>
          </w:divBdr>
        </w:div>
        <w:div w:id="515116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5" Type="http://schemas.openxmlformats.org/officeDocument/2006/relationships/styles" Target="styles.xml"/><Relationship Id="rId3" Type="http://schemas.openxmlformats.org/officeDocument/2006/relationships/customXml" Target="../customXml/item3.xml"/><Relationship Id="rId4" Type="http://schemas.openxmlformats.org/officeDocument/2006/relationships/numbering" Target="numbering.xml"/><Relationship Id="rId1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endnotes" Target="endnotes.xml"/><Relationship Id="rId1" Type="http://schemas.openxmlformats.org/officeDocument/2006/relationships/customXml" Target="../customXml/item1.xml"/><Relationship Id="rId11" Type="http://schemas.openxmlformats.org/officeDocument/2006/relationships/footer" Target="footer1.xml"/><Relationship Id="rId15" Type="http://schemas.openxmlformats.org/officeDocument/2006/relationships/theme" Target="theme/theme1.xml"/><Relationship Id="rId2" Type="http://schemas.openxmlformats.org/officeDocument/2006/relationships/customXml" Target="../customXml/item2.xml"/><Relationship Id="rId13" Type="http://schemas.openxmlformats.org/officeDocument/2006/relationships/footer" Target="footer2.xml"/><Relationship Id="rId8" Type="http://schemas.openxmlformats.org/officeDocument/2006/relationships/footnotes" Target="footnotes.xml"/><Relationship Id="rId6" Type="http://schemas.openxmlformats.org/officeDocument/2006/relationships/settings" Target="settings.xml"/><Relationship Id="rId12" Type="http://schemas.openxmlformats.org/officeDocument/2006/relationships/header" Target="header2.xml"/><Relationship Id="rId7"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313BC913C4EF14E9DD85714C8D68CF0" ma:contentTypeVersion="8" ma:contentTypeDescription="Create a new document." ma:contentTypeScope="" ma:versionID="2f4d0f7f576e7b2e470fe43dc34efe4d">
  <xsd:schema xmlns:xsd="http://www.w3.org/2001/XMLSchema" xmlns:xs="http://www.w3.org/2001/XMLSchema" xmlns:p="http://schemas.microsoft.com/office/2006/metadata/properties" xmlns:ns2="fb13932b-d15e-479a-8907-b874a91337b1" targetNamespace="http://schemas.microsoft.com/office/2006/metadata/properties" ma:root="true" ma:fieldsID="cd7e73573500646ad2dfbdd0d9fe14c4" ns2:_="">
    <xsd:import namespace="fb13932b-d15e-479a-8907-b874a91337b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13932b-d15e-479a-8907-b874a91337b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B4230F-9F30-4284-A85E-3B7EC3B1D8D4}">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fb13932b-d15e-479a-8907-b874a91337b1"/>
    <ds:schemaRef ds:uri="http://www.w3.org/XML/1998/namespace"/>
    <ds:schemaRef ds:uri="http://purl.org/dc/dcmitype/"/>
  </ds:schemaRefs>
</ds:datastoreItem>
</file>

<file path=customXml/itemProps2.xml><?xml version="1.0" encoding="utf-8"?>
<ds:datastoreItem xmlns:ds="http://schemas.openxmlformats.org/officeDocument/2006/customXml" ds:itemID="{1168821D-E58C-405C-B07F-2BE4E11AEC6D}">
  <ds:schemaRefs>
    <ds:schemaRef ds:uri="http://schemas.microsoft.com/sharepoint/v3/contenttype/forms"/>
  </ds:schemaRefs>
</ds:datastoreItem>
</file>

<file path=customXml/itemProps3.xml><?xml version="1.0" encoding="utf-8"?>
<ds:datastoreItem xmlns:ds="http://schemas.openxmlformats.org/officeDocument/2006/customXml" ds:itemID="{C9DBBAE8-8550-428D-89E0-C2328C2ABF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13932b-d15e-479a-8907-b874a91337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1376</Words>
  <Characters>7845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Toone</dc:creator>
  <cp:keywords/>
  <dc:description/>
  <cp:lastModifiedBy>Absolute Health Care</cp:lastModifiedBy>
  <cp:revision>2</cp:revision>
  <cp:lastPrinted>2017-03-15T18:23:00Z</cp:lastPrinted>
  <dcterms:created xsi:type="dcterms:W3CDTF">2019-05-15T11:41:00Z</dcterms:created>
  <dcterms:modified xsi:type="dcterms:W3CDTF">2019-05-15T11:41:00Z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0x0101004313BC913C4EF14E9DD85714C8D68CF0</vt:lpwstr>
  </property>
</Properties>
</file>