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A9F9AC" w14:textId="58FECECB" w:rsidR="00E608AC" w:rsidRDefault="001C3D24" w:rsidP="00E608AC">
      <w:pPr>
        <w:jc w:val="center"/>
        <w:rPr>
          <w:rFonts w:cs="Arial"/>
          <w:szCs w:val="20"/>
        </w:rPr>
      </w:pPr>
      <w:r>
        <w:t>启动和管理数据处理项目的指导原则</w:t>
      </w:r>
    </w:p>
    <w:p w14:paraId="56D898B6" w14:textId="42F9DCDF" w:rsidR="00E553FE" w:rsidRPr="00D213A5" w:rsidRDefault="007E7126" w:rsidP="00120C50">
      <w:pPr>
        <w:jc w:val="both"/>
        <w:rPr>
          <w:rFonts w:cs="Arial"/>
          <w:szCs w:val="20"/>
        </w:rPr>
      </w:pPr>
      <w:r>
        <w:t>隐私是尊重个人的：虽然数字化有助于数据传输，但每个利益相关者都有责任保护自然人的个人数据，并为此目的监控和保护这些数据的流动。</w:t>
      </w:r>
    </w:p>
    <w:p w14:paraId="216C3378" w14:textId="764788B4" w:rsidR="00AB26BD" w:rsidRPr="00D213A5" w:rsidRDefault="00E608AC" w:rsidP="00120C50">
      <w:pPr>
        <w:jc w:val="both"/>
        <w:rPr>
          <w:rFonts w:cs="Arial"/>
          <w:szCs w:val="20"/>
        </w:rPr>
      </w:pPr>
      <w:r>
        <w:t>在这种情况下，Nexans负责其所有员工/客户/业务合作伙伴的个人数据。</w:t>
      </w:r>
    </w:p>
    <w:p w14:paraId="7B7F9826" w14:textId="6F103F4C" w:rsidR="00970A3C" w:rsidRPr="00D213A5" w:rsidRDefault="00970A3C" w:rsidP="00120C50">
      <w:pPr>
        <w:jc w:val="both"/>
        <w:rPr>
          <w:rFonts w:cs="Arial"/>
          <w:szCs w:val="20"/>
        </w:rPr>
      </w:pPr>
      <w:r>
        <w:t>考虑到个人数据并不是一个“最佳实践”，而是在一个项目的开始和之后要解决的先决条件。</w:t>
      </w:r>
    </w:p>
    <w:p w14:paraId="535471D3" w14:textId="5F4667D0" w:rsidR="00C90585" w:rsidRPr="00D213A5" w:rsidRDefault="006275C9" w:rsidP="00120C50">
      <w:pPr>
        <w:jc w:val="both"/>
        <w:rPr>
          <w:rFonts w:cs="Arial"/>
          <w:szCs w:val="20"/>
        </w:rPr>
      </w:pPr>
      <w:r>
        <w:t>这些指导方针是为了确保每个相关项目的政策都能被衡量、监控和执行。</w:t>
      </w:r>
    </w:p>
    <w:p w14:paraId="3872C864" w14:textId="2C24BA1D" w:rsidR="005B670E" w:rsidRPr="00D213A5" w:rsidRDefault="005B670E" w:rsidP="00120C50">
      <w:pPr>
        <w:pStyle w:val="a4"/>
        <w:numPr>
          <w:ilvl w:val="0"/>
          <w:numId w:val="1"/>
        </w:numPr>
        <w:jc w:val="both"/>
        <w:rPr>
          <w:rFonts w:cs="Arial"/>
          <w:color w:val="000000" w:themeColor="text1"/>
          <w:szCs w:val="20"/>
        </w:rPr>
      </w:pPr>
      <w:r>
        <w:t>申请会处理个人资料吗？</w:t>
      </w:r>
    </w:p>
    <w:p w14:paraId="04F50A7F" w14:textId="3885E9B2" w:rsidR="00ED672D" w:rsidRPr="00D213A5" w:rsidRDefault="00C97923" w:rsidP="00120C50">
      <w:pPr>
        <w:jc w:val="both"/>
        <w:rPr>
          <w:rFonts w:cs="Arial"/>
          <w:szCs w:val="20"/>
        </w:rPr>
      </w:pPr>
      <w:r>
        <w:t>在项目的一开始，您必须问自己和您的服务提供商，您打算部署的应用程序是否会处理个人数据。</w:t>
      </w:r>
    </w:p>
    <w:p w14:paraId="6BAD5ECE" w14:textId="7529C1A8" w:rsidR="00ED672D" w:rsidRPr="00D213A5" w:rsidRDefault="00B33AB4" w:rsidP="00120C50">
      <w:pPr>
        <w:spacing w:after="0" w:line="240" w:lineRule="auto"/>
        <w:jc w:val="both"/>
        <w:rPr>
          <w:rFonts w:cs="Arial"/>
          <w:szCs w:val="20"/>
        </w:rPr>
      </w:pPr>
      <w:r>
        <w:t>什么是个人数据？个人数据是与自然人有关的任何数据，其可用于识别自然人，如（i）个人姓名，（ii）电子邮件（iii）身份证（iv）自然人的照片，（v）银行详细信息（vi）和IP地址…</w:t>
      </w:r>
    </w:p>
    <w:p w14:paraId="33B10AF6" w14:textId="34E5FD0D" w:rsidR="00B33AB4" w:rsidRDefault="00B33AB4" w:rsidP="00120C50">
      <w:pPr>
        <w:spacing w:after="0" w:line="240" w:lineRule="auto"/>
        <w:jc w:val="both"/>
        <w:rPr>
          <w:rFonts w:cs="Arial"/>
          <w:szCs w:val="20"/>
        </w:rPr>
      </w:pPr>
      <w:r/>
    </w:p>
    <w:p w14:paraId="5932DEAA" w14:textId="3F951CD7" w:rsidR="00242036" w:rsidRPr="00A61377" w:rsidRDefault="00943C82" w:rsidP="00A61377">
      <w:pPr>
        <w:spacing w:after="0" w:line="240" w:lineRule="auto"/>
        <w:jc w:val="both"/>
        <w:rPr>
          <w:rFonts w:cs="Arial"/>
          <w:szCs w:val="20"/>
        </w:rPr>
      </w:pPr>
      <w:r>
        <w:t>请记住，使用各种能够共同识别自然人的非个人数据被视为个人数据的处理。</w:t>
      </w:r>
    </w:p>
    <w:p w14:paraId="1D1FAB97" w14:textId="0941E259" w:rsidR="00277C76" w:rsidRDefault="00277C76" w:rsidP="00120C50">
      <w:pPr>
        <w:jc w:val="both"/>
        <w:rPr>
          <w:rFonts w:cs="Arial"/>
          <w:i/>
          <w:color w:val="000000" w:themeColor="text1"/>
          <w:szCs w:val="20"/>
        </w:rPr>
      </w:pPr>
      <w:r/>
    </w:p>
    <w:p w14:paraId="2401F067" w14:textId="1FAF24B3" w:rsidR="00943C82" w:rsidRDefault="00943C82" w:rsidP="00120C50">
      <w:pPr>
        <w:jc w:val="both"/>
        <w:rPr>
          <w:rFonts w:cs="Arial"/>
          <w:color w:val="000000" w:themeColor="text1"/>
          <w:szCs w:val="20"/>
        </w:rPr>
      </w:pPr>
      <w:r>
        <w:t>这对Nexans意味着什么？当您将数据用于统计目的时，您需要确保这些数据是匿名的，并且它们不允许识别自然人。</w:t>
      </w:r>
    </w:p>
    <w:p w14:paraId="5FDBE477" w14:textId="301E80B9" w:rsidR="00A61377" w:rsidRDefault="00E6681F" w:rsidP="00242036">
      <w:pPr>
        <w:rPr>
          <w:rFonts w:cs="Arial"/>
          <w:color w:val="000000" w:themeColor="text1"/>
          <w:szCs w:val="20"/>
        </w:rPr>
      </w:pPr>
      <w:r>
        <w:t>什么是处理？对个人数据（如个人数据的收集、使用、保存和/或删除）执行的任何（一组）操作。</w:t>
      </w:r>
    </w:p>
    <w:p w14:paraId="72FEB13A" w14:textId="4AD8881D" w:rsidR="00242036" w:rsidRPr="009C0EFC" w:rsidRDefault="00A61377" w:rsidP="00242036">
      <w:pPr>
        <w:rPr>
          <w:rFonts w:eastAsia="Times New Roman" w:cs="Arial"/>
          <w:b/>
          <w:sz w:val="25"/>
          <w:szCs w:val="25"/>
          <w:lang w:eastAsia="fr-FR"/>
        </w:rPr>
      </w:pPr>
      <w:r>
        <w:t>它可以以任何形式完成：电子数据库、Excel表格、Word文件、纸张、笔记等。</w:t>
      </w:r>
    </w:p>
    <w:p w14:paraId="027820C1" w14:textId="019BC48E" w:rsidR="00322671" w:rsidRPr="009C0EFC" w:rsidRDefault="009C0EFC" w:rsidP="00120C50">
      <w:pPr>
        <w:jc w:val="both"/>
        <w:rPr>
          <w:rFonts w:cs="Arial"/>
          <w:b/>
          <w:color w:val="000000" w:themeColor="text1"/>
          <w:szCs w:val="20"/>
          <w:u w:val="single"/>
        </w:rPr>
      </w:pPr>
      <w:r>
        <w:t>关键规则：明确列出与项目相关的个人数据</w:t>
      </w:r>
    </w:p>
    <w:p w14:paraId="5CC99428" w14:textId="794AF7F6" w:rsidR="001C3D24" w:rsidRPr="00D213A5" w:rsidRDefault="00FB79C4" w:rsidP="00120C50">
      <w:pPr>
        <w:pStyle w:val="a4"/>
        <w:numPr>
          <w:ilvl w:val="0"/>
          <w:numId w:val="1"/>
        </w:numPr>
        <w:jc w:val="both"/>
        <w:rPr>
          <w:rFonts w:cs="Arial"/>
          <w:color w:val="000000" w:themeColor="text1"/>
          <w:szCs w:val="20"/>
        </w:rPr>
      </w:pPr>
      <w:r>
        <w:t>为什么你的项目需要处理个人数据？</w:t>
      </w:r>
    </w:p>
    <w:p w14:paraId="3C459CD2" w14:textId="3ED1DD55" w:rsidR="001C3D24" w:rsidRPr="00D213A5" w:rsidRDefault="001C3D24" w:rsidP="00120C50">
      <w:pPr>
        <w:jc w:val="both"/>
        <w:rPr>
          <w:rFonts w:eastAsia="Times New Roman" w:cs="Arial"/>
          <w:color w:val="000000" w:themeColor="text1"/>
          <w:szCs w:val="20"/>
          <w:lang w:eastAsia="fr-FR"/>
        </w:rPr>
      </w:pPr>
      <w:r>
        <w:t>个人数据只能用于特定、合法和明确说明的目的。</w:t>
      </w:r>
    </w:p>
    <w:p w14:paraId="559DF968" w14:textId="0C7F16AB" w:rsidR="00D7169B" w:rsidRPr="00D213A5" w:rsidRDefault="00D7169B" w:rsidP="00120C50">
      <w:pPr>
        <w:jc w:val="both"/>
        <w:rPr>
          <w:rFonts w:eastAsia="Times New Roman" w:cs="Arial"/>
          <w:color w:val="000000" w:themeColor="text1"/>
          <w:szCs w:val="20"/>
          <w:lang w:eastAsia="fr-FR"/>
        </w:rPr>
      </w:pPr>
      <w:r>
        <w:t>目的不一定是唯一的：您可以有几个明确的目的来处理个人数据。</w:t>
      </w:r>
    </w:p>
    <w:p w14:paraId="2875F1CF" w14:textId="0DA0C2AB" w:rsidR="00D7169B" w:rsidRDefault="00D7169B" w:rsidP="00120C50">
      <w:pPr>
        <w:jc w:val="both"/>
        <w:rPr>
          <w:rFonts w:eastAsia="Times New Roman" w:cs="Arial"/>
          <w:color w:val="000000" w:themeColor="text1"/>
          <w:szCs w:val="20"/>
          <w:lang w:eastAsia="fr-FR"/>
        </w:rPr>
      </w:pPr>
      <w:r>
        <w:t>一旦定义了目的，为其他目的处理个人数据是非法的！</w:t>
      </w:r>
    </w:p>
    <w:p w14:paraId="47590FD7" w14:textId="64C250C8" w:rsidR="00277C76" w:rsidRPr="00277C76" w:rsidRDefault="00277C76" w:rsidP="00277C76">
      <w:pPr>
        <w:autoSpaceDE w:val="0"/>
        <w:autoSpaceDN w:val="0"/>
        <w:adjustRightInd w:val="0"/>
        <w:spacing w:after="0" w:line="240" w:lineRule="auto"/>
        <w:rPr>
          <w:rFonts w:eastAsia="Times New Roman" w:cs="Arial"/>
          <w:i/>
          <w:color w:val="000000" w:themeColor="text1"/>
          <w:szCs w:val="20"/>
          <w:lang w:eastAsia="fr-FR"/>
        </w:rPr>
      </w:pPr>
      <w:r>
        <w:t>示例：视频监控系统用于Nexans网站的安全和访问控制。不得用于任何其他用途，如监视员工的工作或出勤。</w:t>
      </w:r>
    </w:p>
    <w:p w14:paraId="68FB7177" w14:textId="77777777" w:rsidR="00277C76" w:rsidRPr="00277C76" w:rsidRDefault="00277C76" w:rsidP="00277C76">
      <w:pPr>
        <w:autoSpaceDE w:val="0"/>
        <w:autoSpaceDN w:val="0"/>
        <w:adjustRightInd w:val="0"/>
        <w:spacing w:after="0" w:line="240" w:lineRule="auto"/>
        <w:rPr>
          <w:rFonts w:eastAsia="Times New Roman" w:cs="Arial"/>
          <w:color w:val="000000" w:themeColor="text1"/>
          <w:szCs w:val="20"/>
          <w:lang w:eastAsia="fr-FR"/>
        </w:rPr>
      </w:pPr>
      <w:r/>
    </w:p>
    <w:p w14:paraId="4B3704AE" w14:textId="1D3CFA3F" w:rsidR="00FF6E87" w:rsidRPr="00FF6E87" w:rsidRDefault="00472FA5" w:rsidP="00FF6E87">
      <w:pPr>
        <w:jc w:val="both"/>
        <w:rPr>
          <w:rFonts w:eastAsia="Times New Roman" w:cs="Arial"/>
          <w:b/>
          <w:color w:val="000000" w:themeColor="text1"/>
          <w:szCs w:val="20"/>
          <w:u w:val="single"/>
          <w:lang w:eastAsia="fr-FR"/>
        </w:rPr>
      </w:pPr>
      <w:r>
        <w:t>关键规则：目的是任何处理的基石，请确保将正确的目的分配给正确的处理。</w:t>
      </w:r>
    </w:p>
    <w:p w14:paraId="7F2EDB05" w14:textId="77777777" w:rsidR="00FF6E87" w:rsidRDefault="00FF6E87" w:rsidP="00FF6E87">
      <w:pPr>
        <w:jc w:val="both"/>
        <w:rPr>
          <w:rFonts w:cs="Arial"/>
          <w:b/>
          <w:color w:val="000000" w:themeColor="text1"/>
          <w:szCs w:val="20"/>
          <w:u w:val="single"/>
        </w:rPr>
      </w:pPr>
      <w:r/>
    </w:p>
    <w:p w14:paraId="629B0E64" w14:textId="6F815279" w:rsidR="00014B30" w:rsidRPr="00FF6E87" w:rsidRDefault="00FB79C4" w:rsidP="00120C50">
      <w:pPr>
        <w:pStyle w:val="a4"/>
        <w:numPr>
          <w:ilvl w:val="0"/>
          <w:numId w:val="1"/>
        </w:numPr>
        <w:jc w:val="both"/>
        <w:rPr>
          <w:rFonts w:cs="Arial"/>
          <w:color w:val="000000" w:themeColor="text1"/>
          <w:szCs w:val="20"/>
        </w:rPr>
      </w:pPr>
      <w:r>
        <w:t>为了确定目标，严格需要哪些个人数据？</w:t>
      </w:r>
    </w:p>
    <w:p w14:paraId="01F6A71D" w14:textId="19719188" w:rsidR="00D7169B" w:rsidRPr="00D213A5" w:rsidRDefault="00FF6E87" w:rsidP="00120C50">
      <w:pPr>
        <w:jc w:val="both"/>
        <w:rPr>
          <w:rFonts w:eastAsia="Times New Roman" w:cs="Arial"/>
          <w:color w:val="000000" w:themeColor="text1"/>
          <w:szCs w:val="20"/>
          <w:lang w:eastAsia="fr-FR"/>
        </w:rPr>
      </w:pPr>
      <w:r>
        <w:t>关键词是“设计隐私”：任何处理个人数据的应用程序应从一开始就应进行设计，以确保处理的个人数据是提供应用程序所提供服务的严格必要数据。</w:t>
      </w:r>
    </w:p>
    <w:p w14:paraId="21ADA476" w14:textId="1D3EFBCE" w:rsidR="00FF6E87" w:rsidRPr="00472FA5" w:rsidRDefault="00FF6E87" w:rsidP="00FF6E87">
      <w:pPr>
        <w:jc w:val="both"/>
        <w:rPr>
          <w:rFonts w:eastAsia="Times New Roman" w:cs="Arial"/>
          <w:i/>
          <w:color w:val="000000" w:themeColor="text1"/>
          <w:szCs w:val="20"/>
          <w:lang w:eastAsia="fr-FR"/>
        </w:rPr>
      </w:pPr>
      <w:r>
        <w:t>示例：旅行应用程序要求用户填写必填字段以打开个人资料。如果情况紧急，申请需要家庭成员的联系方式（电话号码和地址）。</w:t>
      </w:r>
    </w:p>
    <w:p w14:paraId="1BFD2531" w14:textId="7737AA67" w:rsidR="00FF6E87" w:rsidRPr="00FF6E87" w:rsidRDefault="00FF6E87" w:rsidP="00120C50">
      <w:pPr>
        <w:jc w:val="both"/>
        <w:rPr>
          <w:rFonts w:eastAsia="Times New Roman" w:cs="Arial"/>
          <w:color w:val="000000" w:themeColor="text1"/>
          <w:szCs w:val="20"/>
          <w:lang w:eastAsia="fr-FR"/>
        </w:rPr>
      </w:pPr>
      <w:r>
        <w:t>预订旅行时不需要这些个人数据——默认情况下，“很好拥有”个人数据将被排除在外。</w:t>
      </w:r>
    </w:p>
    <w:p w14:paraId="177A76CE" w14:textId="66592757" w:rsidR="00472FA5" w:rsidRDefault="003D53C0" w:rsidP="00120C50">
      <w:pPr>
        <w:jc w:val="both"/>
        <w:rPr>
          <w:rFonts w:cs="Arial"/>
          <w:color w:val="000000" w:themeColor="text1"/>
          <w:szCs w:val="20"/>
        </w:rPr>
      </w:pPr>
      <w:r>
        <w:t>有些个人数据比其他数据更敏感！</w:t>
      </w:r>
    </w:p>
    <w:p w14:paraId="7167219C" w14:textId="46159EFE" w:rsidR="00FF6E87" w:rsidRDefault="00FF6E87" w:rsidP="00120C50">
      <w:pPr>
        <w:jc w:val="both"/>
        <w:rPr>
          <w:rFonts w:cs="Arial"/>
          <w:color w:val="000000" w:themeColor="text1"/>
          <w:szCs w:val="20"/>
        </w:rPr>
      </w:pPr>
      <w:r>
        <w:t>所谓“敏感个人数据”的清单取决于你的国家法律。例如，在欧洲：</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82"/>
        <w:gridCol w:w="3182"/>
        <w:gridCol w:w="3182"/>
      </w:tblGrid>
      <w:tr w:rsidR="00FF6E87" w14:paraId="32ADF067" w14:textId="77777777" w:rsidTr="008E2991">
        <w:tc>
          <w:tcPr>
            <w:tcW w:w="3182" w:type="dxa"/>
          </w:tcPr>
          <w:p w14:paraId="0207ED1A" w14:textId="4ACD601B" w:rsidR="00FF6E87" w:rsidRDefault="00FF6E87" w:rsidP="00120C50">
            <w:pPr>
              <w:jc w:val="both"/>
              <w:rPr>
                <w:rFonts w:cs="Arial"/>
                <w:color w:val="000000" w:themeColor="text1"/>
                <w:szCs w:val="20"/>
              </w:rPr>
            </w:pPr>
            <w:r>
              <w:t>种族起源</w:t>
            </w:r>
          </w:p>
        </w:tc>
        <w:tc>
          <w:tcPr>
            <w:tcW w:w="3182" w:type="dxa"/>
          </w:tcPr>
          <w:p w14:paraId="051FB73F" w14:textId="041B3797" w:rsidR="00FF6E87" w:rsidRDefault="00FF6E87" w:rsidP="00120C50">
            <w:pPr>
              <w:jc w:val="both"/>
              <w:rPr>
                <w:rFonts w:cs="Arial"/>
                <w:color w:val="000000" w:themeColor="text1"/>
                <w:szCs w:val="20"/>
              </w:rPr>
            </w:pPr>
            <w:r>
              <w:t>政治意见</w:t>
            </w:r>
          </w:p>
        </w:tc>
        <w:tc>
          <w:tcPr>
            <w:tcW w:w="3182" w:type="dxa"/>
          </w:tcPr>
          <w:p w14:paraId="2CC5933A" w14:textId="55658754" w:rsidR="00FF6E87" w:rsidRDefault="00FF6E87" w:rsidP="00120C50">
            <w:pPr>
              <w:jc w:val="both"/>
              <w:rPr>
                <w:rFonts w:cs="Arial"/>
                <w:color w:val="000000" w:themeColor="text1"/>
                <w:szCs w:val="20"/>
              </w:rPr>
            </w:pPr>
            <w:r>
              <w:t>宗教或其他信仰</w:t>
            </w:r>
          </w:p>
        </w:tc>
      </w:tr>
      <w:tr w:rsidR="00FF6E87" w14:paraId="714EB8B5" w14:textId="77777777" w:rsidTr="008E2991">
        <w:tc>
          <w:tcPr>
            <w:tcW w:w="3182" w:type="dxa"/>
          </w:tcPr>
          <w:p w14:paraId="55EC6FED" w14:textId="4E88EFE0" w:rsidR="00FF6E87" w:rsidRDefault="00FF6E87" w:rsidP="00120C50">
            <w:pPr>
              <w:jc w:val="both"/>
              <w:rPr>
                <w:rFonts w:cs="Arial"/>
                <w:color w:val="000000" w:themeColor="text1"/>
                <w:szCs w:val="20"/>
              </w:rPr>
            </w:pPr>
            <w:r>
              <w:t>身心健康</w:t>
            </w:r>
          </w:p>
        </w:tc>
        <w:tc>
          <w:tcPr>
            <w:tcW w:w="3182" w:type="dxa"/>
          </w:tcPr>
          <w:p w14:paraId="6A8ECABF" w14:textId="7592DBE7" w:rsidR="00FF6E87" w:rsidRDefault="00FF6E87" w:rsidP="00120C50">
            <w:pPr>
              <w:jc w:val="both"/>
              <w:rPr>
                <w:rFonts w:cs="Arial"/>
                <w:color w:val="000000" w:themeColor="text1"/>
                <w:szCs w:val="20"/>
              </w:rPr>
            </w:pPr>
            <w:r>
              <w:t>性生活</w:t>
            </w:r>
          </w:p>
        </w:tc>
        <w:tc>
          <w:tcPr>
            <w:tcW w:w="3182" w:type="dxa"/>
          </w:tcPr>
          <w:p w14:paraId="0304FC46" w14:textId="4CF2E704" w:rsidR="00FF6E87" w:rsidRDefault="00FF6E87" w:rsidP="00120C50">
            <w:pPr>
              <w:jc w:val="both"/>
              <w:rPr>
                <w:rFonts w:cs="Arial"/>
                <w:color w:val="000000" w:themeColor="text1"/>
                <w:szCs w:val="20"/>
              </w:rPr>
            </w:pPr>
            <w:r>
              <w:t>刑事定罪</w:t>
            </w:r>
          </w:p>
        </w:tc>
      </w:tr>
      <w:tr w:rsidR="00FF6E87" w14:paraId="5A2909A2" w14:textId="77777777" w:rsidTr="008E2991">
        <w:tc>
          <w:tcPr>
            <w:tcW w:w="3182" w:type="dxa"/>
          </w:tcPr>
          <w:p w14:paraId="7410E932" w14:textId="1207796B" w:rsidR="00FF6E87" w:rsidRDefault="00FF6E87" w:rsidP="00FF6E87">
            <w:pPr>
              <w:rPr>
                <w:rFonts w:cs="Arial"/>
                <w:color w:val="000000" w:themeColor="text1"/>
                <w:szCs w:val="20"/>
              </w:rPr>
            </w:pPr>
            <w:r>
              <w:t>工会会员</w:t>
            </w:r>
          </w:p>
        </w:tc>
        <w:tc>
          <w:tcPr>
            <w:tcW w:w="3182" w:type="dxa"/>
          </w:tcPr>
          <w:p w14:paraId="47CF143B" w14:textId="6177C2FF" w:rsidR="00FF6E87" w:rsidRDefault="00FF6E87" w:rsidP="00120C50">
            <w:pPr>
              <w:jc w:val="both"/>
              <w:rPr>
                <w:rFonts w:cs="Arial"/>
                <w:color w:val="000000" w:themeColor="text1"/>
                <w:szCs w:val="20"/>
              </w:rPr>
            </w:pPr>
            <w:r>
              <w:t>生物特征数据</w:t>
            </w:r>
          </w:p>
        </w:tc>
        <w:tc>
          <w:tcPr>
            <w:tcW w:w="3182" w:type="dxa"/>
          </w:tcPr>
          <w:p w14:paraId="6E47F904" w14:textId="77777777" w:rsidR="00FF6E87" w:rsidRDefault="00FF6E87" w:rsidP="00120C50">
            <w:pPr>
              <w:jc w:val="both"/>
              <w:rPr>
                <w:rFonts w:cs="Arial"/>
                <w:color w:val="000000" w:themeColor="text1"/>
                <w:szCs w:val="20"/>
              </w:rPr>
            </w:pPr>
            <w:r/>
          </w:p>
        </w:tc>
      </w:tr>
    </w:tbl>
    <w:p w14:paraId="27A2673A" w14:textId="77777777" w:rsidR="00FF6E87" w:rsidRDefault="00FF6E87" w:rsidP="00120C50">
      <w:pPr>
        <w:jc w:val="both"/>
        <w:rPr>
          <w:rFonts w:cs="Arial"/>
          <w:color w:val="000000" w:themeColor="text1"/>
          <w:szCs w:val="20"/>
        </w:rPr>
      </w:pPr>
      <w:r/>
    </w:p>
    <w:p w14:paraId="1AA772A7" w14:textId="3DAED005" w:rsidR="00ED672D" w:rsidRDefault="00ED672D" w:rsidP="00120C50">
      <w:pPr>
        <w:jc w:val="both"/>
        <w:rPr>
          <w:rFonts w:cs="Arial"/>
          <w:color w:val="000000" w:themeColor="text1"/>
          <w:szCs w:val="20"/>
        </w:rPr>
      </w:pPr>
      <w:r>
        <w:t>通常无法处理此类敏感的个人数据，除非在非常有限的情况下：（i）履行法律义务；（ii）保护个人的切身利益；或（iii）获得收集数据的每个人的明确明确同意。</w:t>
      </w:r>
    </w:p>
    <w:p w14:paraId="78D2F2F3" w14:textId="106789FF" w:rsidR="00AC0C8B" w:rsidRPr="00116CFF" w:rsidRDefault="00116CFF" w:rsidP="00120C50">
      <w:pPr>
        <w:jc w:val="both"/>
        <w:rPr>
          <w:rFonts w:eastAsia="Times New Roman" w:cs="Arial"/>
          <w:b/>
          <w:color w:val="000000" w:themeColor="text1"/>
          <w:szCs w:val="20"/>
          <w:u w:val="single"/>
          <w:lang w:eastAsia="fr-FR"/>
        </w:rPr>
      </w:pPr>
      <w:r>
        <w:t>关键规则：不要处理不完全必要的个人数据，并始终确保您能够证明为什么需要特定的个人数据。</w:t>
      </w:r>
    </w:p>
    <w:p w14:paraId="60FDED4E" w14:textId="0885BEFA" w:rsidR="00861360" w:rsidRDefault="00861360" w:rsidP="00120C50">
      <w:pPr>
        <w:jc w:val="both"/>
        <w:rPr>
          <w:rFonts w:eastAsia="Times New Roman" w:cs="Arial"/>
          <w:color w:val="000000" w:themeColor="text1"/>
          <w:szCs w:val="20"/>
          <w:lang w:eastAsia="fr-FR"/>
        </w:rPr>
      </w:pPr>
      <w:r/>
    </w:p>
    <w:p w14:paraId="1FD859A5" w14:textId="18A2BEE9" w:rsidR="00861360" w:rsidRPr="00C14E6F" w:rsidRDefault="00C14E6F" w:rsidP="00C14E6F">
      <w:pPr>
        <w:pStyle w:val="a4"/>
        <w:numPr>
          <w:ilvl w:val="0"/>
          <w:numId w:val="1"/>
        </w:numPr>
        <w:jc w:val="both"/>
        <w:rPr>
          <w:rFonts w:cs="Arial"/>
          <w:b/>
          <w:color w:val="000000" w:themeColor="text1"/>
          <w:szCs w:val="20"/>
        </w:rPr>
      </w:pPr>
      <w:r>
        <w:t>我的法律依据是什么？</w:t>
      </w:r>
    </w:p>
    <w:p w14:paraId="4A20DCA5" w14:textId="77777777" w:rsidR="00C14E6F" w:rsidRDefault="00C14E6F" w:rsidP="00861360">
      <w:pPr>
        <w:spacing w:before="210" w:after="210" w:line="240" w:lineRule="auto"/>
        <w:jc w:val="both"/>
      </w:pPr>
      <w:r>
        <w:t>哪种法律依据最适合您的处理将取决于您先前确定的目的。</w:t>
      </w:r>
    </w:p>
    <w:p w14:paraId="49F3CEB5" w14:textId="4B74997D" w:rsidR="00861360" w:rsidRDefault="00C14E6F" w:rsidP="00861360">
      <w:pPr>
        <w:spacing w:before="210" w:after="210" w:line="240" w:lineRule="auto"/>
        <w:jc w:val="both"/>
        <w:rPr>
          <w:rFonts w:eastAsia="Times New Roman" w:cs="Arial"/>
          <w:color w:val="000000" w:themeColor="text1"/>
          <w:szCs w:val="20"/>
          <w:lang w:eastAsia="fr-FR"/>
        </w:rPr>
      </w:pPr>
      <w:r>
        <w:t>一般来说，要合法处理个人数据，必须证明以下法律依据之一：</w:t>
      </w:r>
    </w:p>
    <w:p w14:paraId="4DF506E9" w14:textId="07529DC4" w:rsidR="00587FE4" w:rsidRPr="00587FE4" w:rsidRDefault="00587FE4" w:rsidP="00587FE4">
      <w:pPr>
        <w:pStyle w:val="a4"/>
        <w:numPr>
          <w:ilvl w:val="0"/>
          <w:numId w:val="14"/>
        </w:numPr>
        <w:spacing w:before="210" w:after="210" w:line="240" w:lineRule="auto"/>
        <w:jc w:val="both"/>
        <w:rPr>
          <w:rFonts w:eastAsia="Times New Roman" w:cs="Arial"/>
          <w:color w:val="000000" w:themeColor="text1"/>
          <w:szCs w:val="20"/>
          <w:lang w:eastAsia="fr-FR"/>
        </w:rPr>
      </w:pPr>
      <w:r>
        <w:t>NEXANS的合法利益</w:t>
      </w:r>
    </w:p>
    <w:p w14:paraId="077B1517" w14:textId="24717022" w:rsidR="00587FE4" w:rsidRDefault="00587FE4" w:rsidP="00587FE4">
      <w:pPr>
        <w:pStyle w:val="a4"/>
        <w:numPr>
          <w:ilvl w:val="0"/>
          <w:numId w:val="14"/>
        </w:numPr>
        <w:spacing w:before="210" w:after="210" w:line="240" w:lineRule="auto"/>
        <w:jc w:val="both"/>
        <w:rPr>
          <w:rFonts w:eastAsia="Times New Roman" w:cs="Arial"/>
          <w:color w:val="000000" w:themeColor="text1"/>
          <w:szCs w:val="20"/>
          <w:lang w:eastAsia="fr-FR"/>
        </w:rPr>
      </w:pPr>
      <w:r>
        <w:t>Nexans与自然人之间的合同基础（如雇佣合同）</w:t>
      </w:r>
    </w:p>
    <w:p w14:paraId="4DC55D66" w14:textId="6D2AA62A" w:rsidR="00587FE4" w:rsidRDefault="00587FE4" w:rsidP="00587FE4">
      <w:pPr>
        <w:pStyle w:val="a4"/>
        <w:numPr>
          <w:ilvl w:val="0"/>
          <w:numId w:val="14"/>
        </w:numPr>
        <w:spacing w:before="210" w:after="210" w:line="240" w:lineRule="auto"/>
        <w:jc w:val="both"/>
        <w:rPr>
          <w:rFonts w:eastAsia="Times New Roman" w:cs="Arial"/>
          <w:color w:val="000000" w:themeColor="text1"/>
          <w:szCs w:val="20"/>
          <w:lang w:eastAsia="fr-FR"/>
        </w:rPr>
      </w:pPr>
      <w:r>
        <w:t>法律或当局对Nexans施加的法律义务</w:t>
      </w:r>
    </w:p>
    <w:p w14:paraId="18359D82" w14:textId="5BE84EA1" w:rsidR="00587FE4" w:rsidRPr="00587FE4" w:rsidRDefault="00587FE4" w:rsidP="00587FE4">
      <w:pPr>
        <w:pStyle w:val="a4"/>
        <w:numPr>
          <w:ilvl w:val="0"/>
          <w:numId w:val="14"/>
        </w:numPr>
        <w:spacing w:before="210" w:after="210" w:line="240" w:lineRule="auto"/>
        <w:jc w:val="both"/>
        <w:rPr>
          <w:rFonts w:eastAsia="Times New Roman" w:cs="Arial"/>
          <w:color w:val="000000" w:themeColor="text1"/>
          <w:szCs w:val="20"/>
          <w:lang w:eastAsia="fr-FR"/>
        </w:rPr>
      </w:pPr>
      <w:r>
        <w:t>自然人的同意（如通讯中的选择退出机制）</w:t>
      </w:r>
    </w:p>
    <w:p w14:paraId="080A62B9" w14:textId="7F6F5B1A" w:rsidR="00861360" w:rsidRPr="00D213A5" w:rsidRDefault="00861360" w:rsidP="00116CFF">
      <w:pPr>
        <w:spacing w:after="0" w:line="240" w:lineRule="auto"/>
        <w:jc w:val="both"/>
        <w:rPr>
          <w:rFonts w:eastAsia="Times New Roman" w:cs="Arial"/>
          <w:color w:val="000000" w:themeColor="text1"/>
          <w:szCs w:val="20"/>
          <w:lang w:eastAsia="fr-FR"/>
        </w:rPr>
      </w:pPr>
      <w:r/>
    </w:p>
    <w:p w14:paraId="4EF776B1" w14:textId="77777777" w:rsidR="009C0EFC" w:rsidRPr="008E2991" w:rsidRDefault="009C0EFC" w:rsidP="00116CFF">
      <w:pPr>
        <w:spacing w:after="0" w:line="240" w:lineRule="auto"/>
        <w:jc w:val="both"/>
        <w:rPr>
          <w:rFonts w:eastAsia="Times New Roman" w:cs="Arial"/>
          <w:b/>
          <w:i/>
          <w:color w:val="000000" w:themeColor="text1"/>
          <w:szCs w:val="20"/>
          <w:lang w:eastAsia="fr-FR"/>
        </w:rPr>
      </w:pPr>
      <w:r>
        <w:t>大多数情况下，法律义务或合法利益将是处理个人数据的一个令人满意的基础。</w:t>
      </w:r>
    </w:p>
    <w:p w14:paraId="41691004" w14:textId="77777777" w:rsidR="00720F94" w:rsidRDefault="00720F94" w:rsidP="00116CFF">
      <w:pPr>
        <w:spacing w:after="0" w:line="240" w:lineRule="auto"/>
        <w:jc w:val="both"/>
        <w:rPr>
          <w:rFonts w:eastAsia="Times New Roman" w:cs="Arial"/>
          <w:color w:val="000000" w:themeColor="text1"/>
          <w:szCs w:val="20"/>
          <w:lang w:eastAsia="fr-FR"/>
        </w:rPr>
      </w:pPr>
      <w:r/>
    </w:p>
    <w:p w14:paraId="117A0E07" w14:textId="5197A385" w:rsidR="00861360" w:rsidRDefault="00861360" w:rsidP="00116CFF">
      <w:pPr>
        <w:spacing w:after="0" w:line="240" w:lineRule="auto"/>
        <w:jc w:val="both"/>
        <w:rPr>
          <w:rFonts w:eastAsia="Times New Roman" w:cs="Arial"/>
          <w:color w:val="000000" w:themeColor="text1"/>
          <w:szCs w:val="20"/>
          <w:lang w:eastAsia="fr-FR"/>
        </w:rPr>
      </w:pPr>
      <w:r>
        <w:t>当需要同意时，可以根据应用程序的结构以各种形式提供：签署同意声明，发送电子邮件，单击在线选择加入按钮…</w:t>
      </w:r>
    </w:p>
    <w:p w14:paraId="46008F56" w14:textId="1E87C1C4" w:rsidR="00116CFF" w:rsidRDefault="00116CFF" w:rsidP="00116CFF">
      <w:pPr>
        <w:spacing w:after="0" w:line="240" w:lineRule="auto"/>
        <w:jc w:val="both"/>
        <w:rPr>
          <w:rFonts w:eastAsia="Times New Roman" w:cs="Arial"/>
          <w:color w:val="000000" w:themeColor="text1"/>
          <w:szCs w:val="20"/>
          <w:lang w:eastAsia="fr-FR"/>
        </w:rPr>
      </w:pPr>
      <w:r/>
    </w:p>
    <w:p w14:paraId="592148C7" w14:textId="70A6B50A" w:rsidR="00116CFF" w:rsidRPr="00080C0E" w:rsidRDefault="00116CFF" w:rsidP="00116CFF">
      <w:pPr>
        <w:spacing w:after="0" w:line="240" w:lineRule="auto"/>
        <w:jc w:val="both"/>
        <w:rPr>
          <w:rFonts w:eastAsia="Times New Roman" w:cs="Arial"/>
          <w:b/>
          <w:color w:val="000000" w:themeColor="text1"/>
          <w:szCs w:val="20"/>
          <w:u w:val="single"/>
          <w:lang w:eastAsia="fr-FR"/>
        </w:rPr>
      </w:pPr>
      <w:r>
        <w:t>关键规则：始终确保您记录处理个人数据所依据的法律依据。</w:t>
      </w:r>
    </w:p>
    <w:p w14:paraId="0DFC370B" w14:textId="4A4651A7" w:rsidR="00861360" w:rsidRDefault="00861360" w:rsidP="00120C50">
      <w:pPr>
        <w:jc w:val="both"/>
        <w:rPr>
          <w:rFonts w:cs="Arial"/>
          <w:color w:val="000000" w:themeColor="text1"/>
          <w:szCs w:val="20"/>
        </w:rPr>
      </w:pPr>
      <w:r/>
    </w:p>
    <w:p w14:paraId="06B75035" w14:textId="77777777" w:rsidR="008E2991" w:rsidRDefault="008E2991" w:rsidP="00120C50">
      <w:pPr>
        <w:jc w:val="both"/>
        <w:rPr>
          <w:rFonts w:cs="Arial"/>
          <w:color w:val="000000" w:themeColor="text1"/>
          <w:szCs w:val="20"/>
        </w:rPr>
      </w:pPr>
      <w:r/>
    </w:p>
    <w:p w14:paraId="4CD38B73" w14:textId="5D6BCC41" w:rsidR="00AD6AAB" w:rsidRPr="00AD6AAB" w:rsidRDefault="00AD6AAB" w:rsidP="00AD6AAB">
      <w:pPr>
        <w:pStyle w:val="a4"/>
        <w:numPr>
          <w:ilvl w:val="0"/>
          <w:numId w:val="1"/>
        </w:numPr>
        <w:jc w:val="both"/>
        <w:rPr>
          <w:rFonts w:cs="Arial"/>
          <w:color w:val="000000" w:themeColor="text1"/>
          <w:szCs w:val="20"/>
        </w:rPr>
      </w:pPr>
      <w:r>
        <w:t>什么是适用的保留期？</w:t>
      </w:r>
    </w:p>
    <w:p w14:paraId="3CA51791" w14:textId="0A0BBCEC" w:rsidR="00AD6AAB" w:rsidRDefault="00AD6AAB" w:rsidP="00AD6AAB">
      <w:r>
        <w:t>与法律依据一样，个人数据的保存期限在很大程度上取决于目的。</w:t>
      </w:r>
    </w:p>
    <w:p w14:paraId="3C084C2F" w14:textId="53B08D10" w:rsidR="00AD6AAB" w:rsidRPr="00AD6AAB" w:rsidRDefault="00AD6AAB" w:rsidP="00AD6AAB">
      <w:pPr>
        <w:rPr>
          <w:b/>
          <w:u w:val="single"/>
        </w:rPr>
      </w:pPr>
      <w:r>
        <w:t>关键规则：个人数据只能在有限的保留期内保留，无论是法律规定的还是为确定的目的而严格需要的时间。</w:t>
      </w:r>
    </w:p>
    <w:p w14:paraId="234E6766" w14:textId="77777777" w:rsidR="00AD6AAB" w:rsidRPr="00D213A5" w:rsidRDefault="00AD6AAB" w:rsidP="00120C50">
      <w:pPr>
        <w:jc w:val="both"/>
        <w:rPr>
          <w:rFonts w:cs="Arial"/>
          <w:color w:val="000000" w:themeColor="text1"/>
          <w:szCs w:val="20"/>
        </w:rPr>
      </w:pPr>
      <w:r/>
    </w:p>
    <w:p w14:paraId="273966AE" w14:textId="52355AFD" w:rsidR="00FB79C4" w:rsidRPr="00D213A5" w:rsidRDefault="00FB79C4" w:rsidP="00120C50">
      <w:pPr>
        <w:pStyle w:val="a4"/>
        <w:numPr>
          <w:ilvl w:val="0"/>
          <w:numId w:val="1"/>
        </w:numPr>
        <w:jc w:val="both"/>
        <w:rPr>
          <w:rFonts w:eastAsia="Times New Roman" w:cs="Arial"/>
          <w:color w:val="000000" w:themeColor="text1"/>
          <w:szCs w:val="20"/>
          <w:lang w:eastAsia="fr-FR"/>
        </w:rPr>
      </w:pPr>
      <w:r>
        <w:t>谁可以访问应用程序处理的个人数据？</w:t>
      </w:r>
    </w:p>
    <w:p w14:paraId="73E125EB" w14:textId="3020EA92" w:rsidR="000A3A29" w:rsidRDefault="000A3A29" w:rsidP="00120C50">
      <w:pPr>
        <w:jc w:val="both"/>
        <w:rPr>
          <w:rFonts w:eastAsia="Times New Roman" w:cs="Arial"/>
          <w:color w:val="000000" w:themeColor="text1"/>
          <w:szCs w:val="20"/>
          <w:lang w:eastAsia="fr-FR"/>
        </w:rPr>
      </w:pPr>
      <w:r>
        <w:t>只有少数员工和/或服务提供商有权访问、显示和/或删除个人数据。</w:t>
      </w:r>
    </w:p>
    <w:p w14:paraId="01114954" w14:textId="45930B5B" w:rsidR="00FB79C4" w:rsidRPr="00D213A5" w:rsidRDefault="00FB79C4" w:rsidP="00120C50">
      <w:pPr>
        <w:jc w:val="both"/>
        <w:rPr>
          <w:rFonts w:eastAsia="Times New Roman" w:cs="Arial"/>
          <w:color w:val="000000" w:themeColor="text1"/>
          <w:szCs w:val="20"/>
          <w:lang w:eastAsia="fr-FR"/>
        </w:rPr>
      </w:pPr>
      <w:r>
        <w:t>在任何情况下，您都需要确保有一个安全的文档化流程，以便只有授权人员才能访问个人数据。</w:t>
      </w:r>
    </w:p>
    <w:p w14:paraId="516ED75D" w14:textId="33FEFB90" w:rsidR="00B66112" w:rsidRPr="00080C0E" w:rsidRDefault="00B66112" w:rsidP="00120C50">
      <w:pPr>
        <w:jc w:val="both"/>
        <w:rPr>
          <w:rFonts w:eastAsia="Times New Roman" w:cs="Arial"/>
          <w:b/>
          <w:color w:val="000000" w:themeColor="text1"/>
          <w:szCs w:val="20"/>
          <w:u w:val="single"/>
          <w:lang w:eastAsia="fr-FR"/>
        </w:rPr>
      </w:pPr>
      <w:r>
        <w:t>关键规则：在启动数据处理时，确定内部和外部（服务提供商或其分包商）有权访问个人数据的人员，并记录程序。</w:t>
      </w:r>
    </w:p>
    <w:p w14:paraId="2727A34C" w14:textId="77777777" w:rsidR="00080C0E" w:rsidRDefault="00080C0E" w:rsidP="00080C0E">
      <w:pPr>
        <w:jc w:val="both"/>
        <w:rPr>
          <w:rFonts w:cs="Arial"/>
          <w:b/>
          <w:color w:val="000000" w:themeColor="text1"/>
          <w:szCs w:val="20"/>
          <w:u w:val="single"/>
        </w:rPr>
      </w:pPr>
      <w:r/>
    </w:p>
    <w:p w14:paraId="7C1D48F1" w14:textId="42A36E5F" w:rsidR="005347A2" w:rsidRPr="00080C0E" w:rsidRDefault="005347A2" w:rsidP="00080C0E">
      <w:pPr>
        <w:pStyle w:val="a4"/>
        <w:numPr>
          <w:ilvl w:val="0"/>
          <w:numId w:val="1"/>
        </w:numPr>
        <w:jc w:val="both"/>
        <w:rPr>
          <w:rFonts w:cs="Arial"/>
          <w:b/>
          <w:color w:val="000000" w:themeColor="text1"/>
          <w:szCs w:val="20"/>
        </w:rPr>
      </w:pPr>
      <w:r>
        <w:t>现在的应用程序有多安全？</w:t>
      </w:r>
    </w:p>
    <w:p w14:paraId="0A84423C" w14:textId="72BDFD2E" w:rsidR="005347A2" w:rsidRPr="00D213A5" w:rsidRDefault="005347A2" w:rsidP="00120C50">
      <w:pPr>
        <w:jc w:val="both"/>
        <w:rPr>
          <w:rFonts w:cs="Arial"/>
          <w:color w:val="000000" w:themeColor="text1"/>
          <w:szCs w:val="20"/>
        </w:rPr>
      </w:pPr>
      <w:r>
        <w:t>IT部门将协助您确定Nexans和服务提供商应采取哪些适当的技术和组织措施，以防止未经授权或非法处理个人数据以及意外丢失或损坏个人数据。</w:t>
      </w:r>
    </w:p>
    <w:p w14:paraId="530E15B7" w14:textId="6C96C4A4" w:rsidR="00080C0E" w:rsidRDefault="00C06960" w:rsidP="00080C0E">
      <w:pPr>
        <w:jc w:val="both"/>
        <w:rPr>
          <w:rFonts w:cs="Arial"/>
          <w:color w:val="000000" w:themeColor="text1"/>
          <w:szCs w:val="20"/>
        </w:rPr>
      </w:pPr>
      <w:r>
        <w:t>始终向您的服务提供商提供以下文档：</w:t>
      </w:r>
    </w:p>
    <w:p w14:paraId="1A59442E" w14:textId="140A5958" w:rsidR="00080C0E" w:rsidRPr="00080C0E" w:rsidRDefault="00080C0E" w:rsidP="00080C0E">
      <w:pPr>
        <w:pStyle w:val="a4"/>
        <w:numPr>
          <w:ilvl w:val="0"/>
          <w:numId w:val="6"/>
        </w:numPr>
        <w:jc w:val="both"/>
        <w:rPr>
          <w:rFonts w:cs="Arial"/>
          <w:color w:val="000000" w:themeColor="text1"/>
          <w:szCs w:val="20"/>
        </w:rPr>
      </w:pPr>
      <w:r>
        <w:t>如何保证数据安全（密码、数据加密、物理安全……）？</w:t>
      </w:r>
    </w:p>
    <w:p w14:paraId="6D6BAFA1" w14:textId="5185F01C" w:rsidR="00D6740E" w:rsidRDefault="00C06960" w:rsidP="00080C0E">
      <w:pPr>
        <w:pStyle w:val="a4"/>
        <w:numPr>
          <w:ilvl w:val="0"/>
          <w:numId w:val="6"/>
        </w:numPr>
        <w:jc w:val="both"/>
        <w:rPr>
          <w:rFonts w:cs="Arial"/>
          <w:color w:val="000000" w:themeColor="text1"/>
          <w:szCs w:val="20"/>
        </w:rPr>
      </w:pPr>
      <w:r>
        <w:t>什么是数据泄露事件管理？</w:t>
      </w:r>
    </w:p>
    <w:p w14:paraId="732975CE" w14:textId="77777777" w:rsidR="00D6740E" w:rsidRDefault="00C600BE" w:rsidP="00080C0E">
      <w:pPr>
        <w:pStyle w:val="a4"/>
        <w:numPr>
          <w:ilvl w:val="0"/>
          <w:numId w:val="6"/>
        </w:numPr>
        <w:jc w:val="both"/>
        <w:rPr>
          <w:rFonts w:cs="Arial"/>
          <w:color w:val="000000" w:themeColor="text1"/>
          <w:szCs w:val="20"/>
        </w:rPr>
      </w:pPr>
      <w:r>
        <w:t>是否有备份和业务连续性计划？</w:t>
      </w:r>
    </w:p>
    <w:p w14:paraId="4F764C69" w14:textId="197855CE" w:rsidR="00D6740E" w:rsidRDefault="00080C0E" w:rsidP="00080C0E">
      <w:pPr>
        <w:pStyle w:val="a4"/>
        <w:numPr>
          <w:ilvl w:val="0"/>
          <w:numId w:val="6"/>
        </w:numPr>
        <w:jc w:val="both"/>
        <w:rPr>
          <w:rFonts w:cs="Arial"/>
          <w:color w:val="000000" w:themeColor="text1"/>
          <w:szCs w:val="20"/>
        </w:rPr>
      </w:pPr>
      <w:r>
        <w:t>您的服务提供商是否通过了ISO认证（如ISO 27001…）？</w:t>
      </w:r>
    </w:p>
    <w:p w14:paraId="38806CDE" w14:textId="3BCB8E7F" w:rsidR="009655B2" w:rsidRPr="009655B2" w:rsidRDefault="009655B2" w:rsidP="009655B2">
      <w:pPr>
        <w:jc w:val="both"/>
        <w:rPr>
          <w:rFonts w:cs="Arial"/>
          <w:color w:val="000000" w:themeColor="text1"/>
          <w:szCs w:val="20"/>
        </w:rPr>
      </w:pPr>
      <w:r>
        <w:t>为此，获得数据处理协议的完成和签署。</w:t>
      </w:r>
    </w:p>
    <w:p w14:paraId="473937FF" w14:textId="21EDB528" w:rsidR="000A3A29" w:rsidRDefault="00E053D8" w:rsidP="00080C0E">
      <w:pPr>
        <w:jc w:val="both"/>
        <w:rPr>
          <w:rFonts w:cs="Arial"/>
          <w:color w:val="000000" w:themeColor="text1"/>
          <w:szCs w:val="20"/>
        </w:rPr>
      </w:pPr>
      <w:r>
        <w:t>在项目开始时，您应：</w:t>
      </w:r>
    </w:p>
    <w:p w14:paraId="35980614" w14:textId="1741A81C" w:rsidR="00E053D8" w:rsidRPr="00E053D8" w:rsidRDefault="00E053D8" w:rsidP="00F26F78">
      <w:pPr>
        <w:pStyle w:val="a4"/>
        <w:numPr>
          <w:ilvl w:val="0"/>
          <w:numId w:val="6"/>
        </w:numPr>
        <w:jc w:val="both"/>
        <w:rPr>
          <w:rFonts w:cs="Arial"/>
          <w:color w:val="000000" w:themeColor="text1"/>
          <w:szCs w:val="20"/>
        </w:rPr>
      </w:pPr>
      <w:r>
        <w:t>填写意向书：这份文件描述了项目的目的、它的益处和价值，以及它的上下文（包括个人数据是否被处理）。</w:t>
      </w:r>
    </w:p>
    <w:p w14:paraId="00605EF0" w14:textId="06BB9FCC" w:rsidR="00E053D8" w:rsidRPr="00D24731" w:rsidRDefault="00D24731" w:rsidP="00F26F78">
      <w:pPr>
        <w:pStyle w:val="a4"/>
        <w:numPr>
          <w:ilvl w:val="0"/>
          <w:numId w:val="6"/>
        </w:numPr>
        <w:jc w:val="both"/>
        <w:rPr>
          <w:rFonts w:cs="Arial"/>
          <w:color w:val="000000" w:themeColor="text1"/>
          <w:szCs w:val="20"/>
        </w:rPr>
      </w:pPr>
      <w:r>
        <w:t>填写应用程序的“敏感性评估”工具：它将帮助您衡量与应用程序相关的风险，包括个人数据风险。</w:t>
      </w:r>
    </w:p>
    <w:p w14:paraId="0C4B45B8" w14:textId="29176E08" w:rsidR="00D24731" w:rsidRPr="00E053D8" w:rsidRDefault="00D24731" w:rsidP="00F26F78">
      <w:pPr>
        <w:pStyle w:val="a4"/>
        <w:numPr>
          <w:ilvl w:val="0"/>
          <w:numId w:val="6"/>
        </w:numPr>
        <w:jc w:val="both"/>
        <w:rPr>
          <w:rFonts w:cs="Arial"/>
          <w:color w:val="000000" w:themeColor="text1"/>
          <w:szCs w:val="20"/>
        </w:rPr>
      </w:pPr>
      <w:r>
        <w:t>将IS发布的信息安全指南发送给您的服务提供商。他们设定了Nexans期望其服务提供商提供的基本安全原则。</w:t>
      </w:r>
    </w:p>
    <w:p w14:paraId="1686043F" w14:textId="418CC13E" w:rsidR="00080C0E" w:rsidRDefault="00080C0E" w:rsidP="00120C50">
      <w:pPr>
        <w:jc w:val="both"/>
        <w:rPr>
          <w:rFonts w:cs="Arial"/>
          <w:b/>
          <w:szCs w:val="20"/>
        </w:rPr>
      </w:pPr>
      <w:r/>
    </w:p>
    <w:p w14:paraId="3802E4D8" w14:textId="39A7090B" w:rsidR="00DB1CF8" w:rsidRPr="00DB1CF8" w:rsidRDefault="00AD6AAB" w:rsidP="00F26F78">
      <w:pPr>
        <w:pStyle w:val="a4"/>
        <w:numPr>
          <w:ilvl w:val="0"/>
          <w:numId w:val="1"/>
        </w:numPr>
        <w:jc w:val="both"/>
        <w:rPr>
          <w:rFonts w:cs="Arial"/>
          <w:b/>
          <w:color w:val="000000" w:themeColor="text1"/>
          <w:szCs w:val="20"/>
        </w:rPr>
      </w:pPr>
      <w:r>
        <w:t>个人数据被转移到哪里？</w:t>
      </w:r>
    </w:p>
    <w:p w14:paraId="4E8AF351" w14:textId="0ED6DB4D" w:rsidR="009E0F56" w:rsidRPr="00D213A5" w:rsidRDefault="00DB1CF8" w:rsidP="00120C50">
      <w:pPr>
        <w:jc w:val="both"/>
        <w:rPr>
          <w:rFonts w:cs="Arial"/>
          <w:color w:val="000000" w:themeColor="text1"/>
          <w:szCs w:val="20"/>
        </w:rPr>
      </w:pPr>
      <w:r>
        <w:t>始终记录服务提供商的合并位置和个人数据的存储位置。Nexans政策是将欧盟公民的个人数据存储在欧洲的数据中心。</w:t>
      </w:r>
    </w:p>
    <w:p w14:paraId="5C6CFA47" w14:textId="77777777" w:rsidR="00DB1CF8" w:rsidRDefault="00955C2E" w:rsidP="00120C50">
      <w:pPr>
        <w:jc w:val="both"/>
        <w:rPr>
          <w:rFonts w:cs="Arial"/>
          <w:color w:val="000000" w:themeColor="text1"/>
          <w:szCs w:val="20"/>
        </w:rPr>
      </w:pPr>
      <w:r>
        <w:t>如果服务提供商希望将个人数据传输到您的国家以外（或如果您在欧洲、欧洲以外），请小心。</w:t>
      </w:r>
    </w:p>
    <w:p w14:paraId="311CAE0B" w14:textId="7A297F49" w:rsidR="008E2991" w:rsidRDefault="00DB1CF8" w:rsidP="008E2991">
      <w:pPr>
        <w:jc w:val="both"/>
        <w:rPr>
          <w:rFonts w:cs="Arial"/>
          <w:b/>
          <w:color w:val="000000" w:themeColor="text1"/>
          <w:szCs w:val="20"/>
        </w:rPr>
      </w:pPr>
      <w:r>
        <w:t>根据欧盟法规，除非符合某些法律依据，如：</w:t>
      </w:r>
    </w:p>
    <w:p w14:paraId="0E7F85BE" w14:textId="4272B654" w:rsidR="00931BC3" w:rsidRPr="008E2991" w:rsidRDefault="00931BC3" w:rsidP="008E2991">
      <w:pPr>
        <w:pStyle w:val="a4"/>
        <w:numPr>
          <w:ilvl w:val="0"/>
          <w:numId w:val="6"/>
        </w:numPr>
        <w:jc w:val="both"/>
        <w:rPr>
          <w:rFonts w:cs="Arial"/>
          <w:b/>
          <w:color w:val="000000" w:themeColor="text1"/>
          <w:szCs w:val="20"/>
        </w:rPr>
      </w:pPr>
      <w:r>
        <w:t>目的国被欧盟当局宣布为提供了充分的保护。</w:t>
      </w:r>
    </w:p>
    <w:p w14:paraId="0ED8D1D7" w14:textId="1FEA94BD" w:rsidR="00931BC3" w:rsidRPr="00D213A5" w:rsidRDefault="00606E4F" w:rsidP="00120C50">
      <w:pPr>
        <w:pStyle w:val="a4"/>
        <w:numPr>
          <w:ilvl w:val="0"/>
          <w:numId w:val="6"/>
        </w:numPr>
        <w:jc w:val="both"/>
        <w:rPr>
          <w:rFonts w:cs="Arial"/>
          <w:color w:val="000000" w:themeColor="text1"/>
          <w:szCs w:val="20"/>
        </w:rPr>
      </w:pPr>
      <w:r>
        <w:t>适用于欧盟委员会批准的服务提供商的标准合同条款；</w:t>
      </w:r>
    </w:p>
    <w:p w14:paraId="75993411" w14:textId="5B0B1F37" w:rsidR="00916F92" w:rsidRPr="00D213A5" w:rsidRDefault="00916F92" w:rsidP="00120C50">
      <w:pPr>
        <w:pStyle w:val="a4"/>
        <w:numPr>
          <w:ilvl w:val="0"/>
          <w:numId w:val="6"/>
        </w:numPr>
        <w:jc w:val="both"/>
        <w:rPr>
          <w:rFonts w:cs="Arial"/>
          <w:color w:val="000000" w:themeColor="text1"/>
          <w:szCs w:val="20"/>
        </w:rPr>
      </w:pPr>
      <w:r>
        <w:t>约束您的服务提供商的公司规则（权威机构批准的规则集）。</w:t>
      </w:r>
    </w:p>
    <w:p w14:paraId="7395CB91" w14:textId="48B0E95F" w:rsidR="00916F92" w:rsidRPr="00AD6AAB" w:rsidRDefault="00AD6AAB" w:rsidP="00120C50">
      <w:pPr>
        <w:jc w:val="both"/>
        <w:rPr>
          <w:rFonts w:cs="Arial"/>
          <w:b/>
          <w:color w:val="000000" w:themeColor="text1"/>
          <w:szCs w:val="20"/>
          <w:u w:val="single"/>
        </w:rPr>
      </w:pPr>
      <w:r>
        <w:t>关键规则：如果将个人数据转移到国外，请确保获得当地数据保护代理的批准。对于欧盟以外的个人数据传输，请确保您从一开始就参与本地数据保护通讯员和集团DPO。</w:t>
      </w:r>
    </w:p>
    <w:p w14:paraId="0C04FC6F" w14:textId="0B916FE1" w:rsidR="008A2075" w:rsidRPr="00D213A5" w:rsidRDefault="008A2075" w:rsidP="00120C50">
      <w:pPr>
        <w:spacing w:after="0" w:line="240" w:lineRule="auto"/>
        <w:ind w:left="284"/>
        <w:jc w:val="both"/>
        <w:rPr>
          <w:rFonts w:eastAsia="Times New Roman" w:cs="Arial"/>
          <w:color w:val="000000" w:themeColor="text1"/>
          <w:szCs w:val="20"/>
          <w:lang w:eastAsia="fr-FR"/>
        </w:rPr>
      </w:pPr>
      <w:r/>
    </w:p>
    <w:p w14:paraId="657DC51B" w14:textId="54FE7806" w:rsidR="00223517" w:rsidRPr="00D213A5" w:rsidRDefault="00223517" w:rsidP="00F26F78">
      <w:pPr>
        <w:pStyle w:val="a4"/>
        <w:numPr>
          <w:ilvl w:val="0"/>
          <w:numId w:val="1"/>
        </w:numPr>
        <w:spacing w:after="0" w:line="240" w:lineRule="auto"/>
        <w:jc w:val="both"/>
        <w:rPr>
          <w:rFonts w:eastAsia="Times New Roman" w:cs="Arial"/>
          <w:b/>
          <w:color w:val="000000" w:themeColor="text1"/>
          <w:szCs w:val="20"/>
          <w:lang w:eastAsia="fr-FR"/>
        </w:rPr>
      </w:pPr>
      <w:r>
        <w:t>您如何确保员工了解处理过程？</w:t>
      </w:r>
    </w:p>
    <w:p w14:paraId="7A548EFF" w14:textId="63BDB851" w:rsidR="00223517" w:rsidRPr="00D213A5" w:rsidRDefault="00223517" w:rsidP="00120C50">
      <w:pPr>
        <w:spacing w:after="0" w:line="240" w:lineRule="auto"/>
        <w:ind w:left="284"/>
        <w:jc w:val="both"/>
        <w:rPr>
          <w:rFonts w:eastAsia="Times New Roman" w:cs="Arial"/>
          <w:color w:val="000000" w:themeColor="text1"/>
          <w:szCs w:val="20"/>
          <w:lang w:eastAsia="fr-FR"/>
        </w:rPr>
      </w:pPr>
      <w:r/>
    </w:p>
    <w:p w14:paraId="46900069" w14:textId="3C00C3D4" w:rsidR="001F3BC1" w:rsidRPr="00D213A5" w:rsidRDefault="001F3BC1" w:rsidP="00120C50">
      <w:pPr>
        <w:spacing w:after="0" w:line="240" w:lineRule="auto"/>
        <w:jc w:val="both"/>
        <w:rPr>
          <w:rFonts w:eastAsia="Times New Roman" w:cs="Arial"/>
          <w:szCs w:val="20"/>
          <w:lang w:eastAsia="fr-FR"/>
        </w:rPr>
      </w:pPr>
      <w:r>
        <w:t>NEXANS必须确保在其个人数据被收集之前或在其雇员和业务伙伴处提供清晰和简明的信息通知。</w:t>
      </w:r>
    </w:p>
    <w:p w14:paraId="052C16BF" w14:textId="05530130" w:rsidR="00F74288" w:rsidRDefault="00F74288" w:rsidP="00120C50">
      <w:pPr>
        <w:spacing w:after="0" w:line="240" w:lineRule="auto"/>
        <w:jc w:val="both"/>
        <w:rPr>
          <w:rFonts w:eastAsia="Times New Roman" w:cs="Arial"/>
          <w:szCs w:val="20"/>
          <w:lang w:eastAsia="fr-FR"/>
        </w:rPr>
      </w:pPr>
      <w:r/>
    </w:p>
    <w:p w14:paraId="5C61343D" w14:textId="0A0135D6" w:rsidR="00CF1106" w:rsidRPr="00D213A5" w:rsidRDefault="002C122A" w:rsidP="00120C50">
      <w:pPr>
        <w:spacing w:after="0" w:line="240" w:lineRule="auto"/>
        <w:jc w:val="both"/>
        <w:rPr>
          <w:rFonts w:eastAsia="Times New Roman" w:cs="Arial"/>
          <w:szCs w:val="20"/>
          <w:lang w:eastAsia="fr-FR"/>
        </w:rPr>
      </w:pPr>
      <w:r>
        <w:t>例如，这些信息包括：（i）处理的目的；（ii）处理的个人数据类别；（iii）个人数据的任何接收者的身份（内部和/或外部）。</w:t>
      </w:r>
    </w:p>
    <w:p w14:paraId="4C6DF7B3" w14:textId="5B59EC06" w:rsidR="00126F48" w:rsidRPr="00D213A5" w:rsidRDefault="00126F48" w:rsidP="00120C50">
      <w:pPr>
        <w:spacing w:after="0" w:line="240" w:lineRule="auto"/>
        <w:jc w:val="both"/>
        <w:rPr>
          <w:rFonts w:eastAsia="Times New Roman" w:cs="Arial"/>
          <w:color w:val="000000" w:themeColor="text1"/>
          <w:szCs w:val="20"/>
          <w:lang w:eastAsia="fr-FR"/>
        </w:rPr>
      </w:pPr>
      <w:r/>
    </w:p>
    <w:p w14:paraId="73DCCAD2" w14:textId="68CE2214" w:rsidR="00C600BE" w:rsidRPr="00D213A5" w:rsidRDefault="00792AD1" w:rsidP="00F26F78">
      <w:pPr>
        <w:pStyle w:val="a4"/>
        <w:numPr>
          <w:ilvl w:val="0"/>
          <w:numId w:val="1"/>
        </w:numPr>
        <w:jc w:val="both"/>
        <w:rPr>
          <w:rFonts w:cs="Arial"/>
          <w:b/>
          <w:color w:val="000000" w:themeColor="text1"/>
          <w:szCs w:val="20"/>
        </w:rPr>
      </w:pPr>
      <w:r>
        <w:t>你如何处理个人信息的请求？</w:t>
      </w:r>
    </w:p>
    <w:p w14:paraId="0A8B841F" w14:textId="511DFDD8" w:rsidR="00D213A5" w:rsidRDefault="00720F94" w:rsidP="00120C50">
      <w:pPr>
        <w:jc w:val="both"/>
        <w:rPr>
          <w:rFonts w:cs="Arial"/>
          <w:color w:val="000000" w:themeColor="text1"/>
          <w:szCs w:val="20"/>
        </w:rPr>
      </w:pPr>
      <w:r>
        <w:t>自然人（雇员、商业伙伴等）有权提出以下要求：</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82"/>
        <w:gridCol w:w="3182"/>
        <w:gridCol w:w="3182"/>
      </w:tblGrid>
      <w:tr w:rsidR="00262820" w14:paraId="09BFA8DC" w14:textId="77777777" w:rsidTr="007C20E0">
        <w:tc>
          <w:tcPr>
            <w:tcW w:w="3182" w:type="dxa"/>
          </w:tcPr>
          <w:p w14:paraId="0537F61E" w14:textId="5BF871C7" w:rsidR="00262820" w:rsidRPr="00262820" w:rsidRDefault="00262820" w:rsidP="00120C50">
            <w:pPr>
              <w:jc w:val="both"/>
              <w:rPr>
                <w:rFonts w:cs="Arial"/>
                <w:b/>
                <w:color w:val="000000" w:themeColor="text1"/>
                <w:szCs w:val="20"/>
              </w:rPr>
            </w:pPr>
            <w:r>
              <w:t>处理通知权</w:t>
            </w:r>
          </w:p>
        </w:tc>
        <w:tc>
          <w:tcPr>
            <w:tcW w:w="3182" w:type="dxa"/>
          </w:tcPr>
          <w:p w14:paraId="4EE9891B" w14:textId="113C2A64" w:rsidR="00262820" w:rsidRPr="00262820" w:rsidRDefault="00262820" w:rsidP="00120C50">
            <w:pPr>
              <w:jc w:val="both"/>
              <w:rPr>
                <w:rFonts w:cs="Arial"/>
                <w:b/>
                <w:color w:val="000000" w:themeColor="text1"/>
                <w:szCs w:val="20"/>
              </w:rPr>
            </w:pPr>
            <w:r>
              <w:t>访问个人数据的权利</w:t>
            </w:r>
          </w:p>
        </w:tc>
        <w:tc>
          <w:tcPr>
            <w:tcW w:w="3182" w:type="dxa"/>
          </w:tcPr>
          <w:p w14:paraId="703DB117" w14:textId="33FD9C35" w:rsidR="00262820" w:rsidRPr="00262820" w:rsidRDefault="00262820" w:rsidP="00120C50">
            <w:pPr>
              <w:jc w:val="both"/>
              <w:rPr>
                <w:rFonts w:cs="Arial"/>
                <w:b/>
                <w:color w:val="000000" w:themeColor="text1"/>
                <w:szCs w:val="20"/>
              </w:rPr>
            </w:pPr>
            <w:r>
              <w:t>个人资料更正权</w:t>
            </w:r>
          </w:p>
        </w:tc>
      </w:tr>
      <w:tr w:rsidR="00262820" w14:paraId="04F352A4" w14:textId="77777777" w:rsidTr="007C20E0">
        <w:tc>
          <w:tcPr>
            <w:tcW w:w="3182" w:type="dxa"/>
          </w:tcPr>
          <w:p w14:paraId="18BDA9CF" w14:textId="41C1401A" w:rsidR="00262820" w:rsidRPr="00262820" w:rsidRDefault="00262820" w:rsidP="00120C50">
            <w:pPr>
              <w:jc w:val="both"/>
              <w:rPr>
                <w:rFonts w:cs="Arial"/>
                <w:b/>
                <w:color w:val="000000" w:themeColor="text1"/>
                <w:szCs w:val="20"/>
              </w:rPr>
            </w:pPr>
            <w:r>
              <w:t>删除个人资料的权利</w:t>
            </w:r>
          </w:p>
        </w:tc>
        <w:tc>
          <w:tcPr>
            <w:tcW w:w="3182" w:type="dxa"/>
          </w:tcPr>
          <w:p w14:paraId="3F283248" w14:textId="279DD596" w:rsidR="00262820" w:rsidRPr="00262820" w:rsidRDefault="00262820" w:rsidP="00120C50">
            <w:pPr>
              <w:jc w:val="both"/>
              <w:rPr>
                <w:rFonts w:cs="Arial"/>
                <w:b/>
                <w:color w:val="000000" w:themeColor="text1"/>
                <w:szCs w:val="20"/>
              </w:rPr>
            </w:pPr>
            <w:r>
              <w:t>限制处理个人数据的权利</w:t>
            </w:r>
          </w:p>
        </w:tc>
        <w:tc>
          <w:tcPr>
            <w:tcW w:w="3182" w:type="dxa"/>
          </w:tcPr>
          <w:p w14:paraId="041DC3F5" w14:textId="5EDCE941" w:rsidR="00262820" w:rsidRPr="00262820" w:rsidRDefault="00262820" w:rsidP="00120C50">
            <w:pPr>
              <w:jc w:val="both"/>
              <w:rPr>
                <w:rFonts w:cs="Arial"/>
                <w:b/>
                <w:color w:val="000000" w:themeColor="text1"/>
                <w:szCs w:val="20"/>
              </w:rPr>
            </w:pPr>
            <w:r>
              <w:t>反对加工权</w:t>
            </w:r>
          </w:p>
        </w:tc>
      </w:tr>
    </w:tbl>
    <w:p w14:paraId="18EABB21" w14:textId="77777777" w:rsidR="00262820" w:rsidRDefault="00262820" w:rsidP="00120C50">
      <w:pPr>
        <w:jc w:val="both"/>
        <w:rPr>
          <w:rFonts w:cs="Arial"/>
          <w:color w:val="000000" w:themeColor="text1"/>
          <w:szCs w:val="20"/>
        </w:rPr>
      </w:pPr>
      <w:r/>
    </w:p>
    <w:p w14:paraId="735B28A1" w14:textId="61DA439F" w:rsidR="00262820" w:rsidRDefault="00262820" w:rsidP="00120C50">
      <w:pPr>
        <w:jc w:val="both"/>
        <w:rPr>
          <w:rFonts w:cs="Arial"/>
          <w:color w:val="000000" w:themeColor="text1"/>
          <w:szCs w:val="20"/>
        </w:rPr>
      </w:pPr>
      <w:r>
        <w:t>有关此类权利的所有请求应在1个月内予以答复。</w:t>
      </w:r>
    </w:p>
    <w:p w14:paraId="720ABB06" w14:textId="2D0E33F0" w:rsidR="00B75193" w:rsidRDefault="00720F94" w:rsidP="00AC55B0">
      <w:pPr>
        <w:rPr>
          <w:rFonts w:cs="Arial"/>
          <w:b/>
          <w:i/>
          <w:color w:val="000000" w:themeColor="text1"/>
          <w:szCs w:val="20"/>
        </w:rPr>
      </w:pPr>
      <w:r>
        <w:t>这是一个非常短的截止日期：您需要确保服务提供者提供的应用程序包含从技术上回答此类请求的机制。</w:t>
      </w:r>
    </w:p>
    <w:p w14:paraId="0412B278" w14:textId="77465887" w:rsidR="00AC55B0" w:rsidRDefault="00AC55B0" w:rsidP="00AC55B0">
      <w:pPr>
        <w:rPr>
          <w:rFonts w:cs="Arial"/>
          <w:b/>
          <w:i/>
          <w:color w:val="000000" w:themeColor="text1"/>
          <w:szCs w:val="20"/>
        </w:rPr>
      </w:pPr>
      <w:r/>
    </w:p>
    <w:p w14:paraId="60BF1E4D" w14:textId="77777777" w:rsidR="007C20E0" w:rsidRPr="00AC55B0" w:rsidRDefault="007C20E0" w:rsidP="00AC55B0">
      <w:pPr>
        <w:rPr>
          <w:rFonts w:cs="Arial"/>
          <w:b/>
          <w:i/>
          <w:color w:val="000000" w:themeColor="text1"/>
          <w:szCs w:val="20"/>
        </w:rPr>
      </w:pPr>
      <w:r/>
    </w:p>
    <w:p w14:paraId="3C92D68C" w14:textId="134A75B8" w:rsidR="00B75193" w:rsidRPr="00B75193" w:rsidRDefault="00B75193" w:rsidP="00F26F78">
      <w:pPr>
        <w:pStyle w:val="a4"/>
        <w:numPr>
          <w:ilvl w:val="0"/>
          <w:numId w:val="1"/>
        </w:numPr>
        <w:jc w:val="both"/>
        <w:rPr>
          <w:rFonts w:cs="Arial"/>
          <w:b/>
          <w:color w:val="000000" w:themeColor="text1"/>
          <w:szCs w:val="20"/>
        </w:rPr>
      </w:pPr>
      <w:r>
        <w:t>我们在哪里跟踪这些处理活动的细节？</w:t>
      </w:r>
    </w:p>
    <w:p w14:paraId="683D7FE4" w14:textId="1EFA5DBF" w:rsidR="00B75193" w:rsidRPr="00D213A5" w:rsidRDefault="00B75193" w:rsidP="00B75193">
      <w:pPr>
        <w:jc w:val="both"/>
        <w:rPr>
          <w:rFonts w:cs="Arial"/>
          <w:color w:val="000000" w:themeColor="text1"/>
          <w:szCs w:val="20"/>
        </w:rPr>
      </w:pPr>
      <w:r>
        <w:t>Nexans需要保留文档作为证明我们责任的证据。</w:t>
      </w:r>
    </w:p>
    <w:p w14:paraId="1A602F2A" w14:textId="73A539D6" w:rsidR="00B75193" w:rsidRDefault="007C20E0" w:rsidP="00B75193">
      <w:pPr>
        <w:jc w:val="both"/>
        <w:rPr>
          <w:rFonts w:cs="Arial"/>
          <w:color w:val="000000" w:themeColor="text1"/>
          <w:szCs w:val="20"/>
        </w:rPr>
      </w:pPr>
      <w:r>
        <w:t>问责意味着我们必须在当地数据保护通讯员的帮助下记录个人数据的各种处理（什么类型的数据，它们去哪里，目的是什么…）。数据保护通讯员的职责之一是在项目经理的帮助下维护个人数据的注册。</w:t>
      </w:r>
    </w:p>
    <w:p w14:paraId="093475AB" w14:textId="2B0BCA90" w:rsidR="00B75193" w:rsidRDefault="00B75193" w:rsidP="006254A2">
      <w:pPr>
        <w:jc w:val="both"/>
        <w:rPr>
          <w:rFonts w:cs="Arial"/>
          <w:color w:val="000000" w:themeColor="text1"/>
          <w:szCs w:val="20"/>
        </w:rPr>
      </w:pPr>
      <w:r/>
    </w:p>
    <w:p w14:paraId="66F50F89" w14:textId="66319A0B" w:rsidR="00B75193" w:rsidRPr="002E0DDB" w:rsidRDefault="00B75193" w:rsidP="00F26F78">
      <w:pPr>
        <w:pStyle w:val="a4"/>
        <w:numPr>
          <w:ilvl w:val="0"/>
          <w:numId w:val="1"/>
        </w:numPr>
        <w:jc w:val="both"/>
        <w:rPr>
          <w:rFonts w:cs="Arial"/>
          <w:szCs w:val="20"/>
        </w:rPr>
      </w:pPr>
      <w:r>
        <w:t>在项目的生命周期中，我如何跟踪个人数据的重要性？</w:t>
      </w:r>
    </w:p>
    <w:p w14:paraId="17EF859E" w14:textId="77777777" w:rsidR="00B75193" w:rsidRPr="00B75193" w:rsidRDefault="00B75193" w:rsidP="00B75193">
      <w:pPr>
        <w:pStyle w:val="a4"/>
        <w:jc w:val="both"/>
        <w:rPr>
          <w:rFonts w:cs="Arial"/>
          <w:b/>
          <w:szCs w:val="20"/>
        </w:rPr>
      </w:pPr>
      <w:r/>
    </w:p>
    <w:p w14:paraId="52B882E7" w14:textId="0C06607A" w:rsidR="00B75193" w:rsidRPr="00080C0E" w:rsidRDefault="00B75193" w:rsidP="00E053D8">
      <w:pPr>
        <w:pStyle w:val="a4"/>
        <w:numPr>
          <w:ilvl w:val="1"/>
          <w:numId w:val="13"/>
        </w:numPr>
        <w:jc w:val="both"/>
        <w:rPr>
          <w:rFonts w:cs="Arial"/>
          <w:b/>
          <w:szCs w:val="20"/>
        </w:rPr>
      </w:pPr>
      <w:r>
        <w:t>在合同有效期内确保足够的安全</w:t>
      </w:r>
    </w:p>
    <w:p w14:paraId="0B82AF83" w14:textId="77777777" w:rsidR="00B75193" w:rsidRPr="00727F69" w:rsidRDefault="00B75193" w:rsidP="00B75193">
      <w:pPr>
        <w:jc w:val="both"/>
        <w:rPr>
          <w:rFonts w:cs="Arial"/>
          <w:szCs w:val="20"/>
        </w:rPr>
      </w:pPr>
      <w:r>
        <w:t>记录服务提供商的安全程序和措施是一个好的开始，但是项目管理需要通过审计权限定期测试安全措施。</w:t>
      </w:r>
    </w:p>
    <w:p w14:paraId="2F93F508" w14:textId="77777777" w:rsidR="00B75193" w:rsidRDefault="00B75193" w:rsidP="00B75193">
      <w:pPr>
        <w:jc w:val="both"/>
        <w:rPr>
          <w:rFonts w:cs="Arial"/>
          <w:szCs w:val="20"/>
        </w:rPr>
      </w:pPr>
      <w:r>
        <w:t>安全程序必须在实践中通过漏洞测试、渗透测试来挑战，这些测试将由NEXANS或由服务提供商定期执行。</w:t>
      </w:r>
    </w:p>
    <w:p w14:paraId="7387B82D" w14:textId="77777777" w:rsidR="00B75193" w:rsidRPr="00B75193" w:rsidRDefault="00B75193" w:rsidP="00E053D8">
      <w:pPr>
        <w:pStyle w:val="a4"/>
        <w:numPr>
          <w:ilvl w:val="1"/>
          <w:numId w:val="13"/>
        </w:numPr>
        <w:jc w:val="both"/>
        <w:rPr>
          <w:rFonts w:cs="Arial"/>
          <w:b/>
          <w:color w:val="000000" w:themeColor="text1"/>
          <w:szCs w:val="20"/>
        </w:rPr>
      </w:pPr>
      <w:r>
        <w:t>确保安全事故时的快速补救</w:t>
      </w:r>
    </w:p>
    <w:p w14:paraId="12EAD28D" w14:textId="1A61FA15" w:rsidR="00B75193" w:rsidRDefault="00B75193" w:rsidP="00B75193">
      <w:pPr>
        <w:jc w:val="both"/>
      </w:pPr>
      <w:r>
        <w:t>在欧洲，如果发生个人数据泄露（数据泄露或损坏），Nexans应在意识到泄露后72小时内通知其国家数据保护监督机构。</w:t>
      </w:r>
    </w:p>
    <w:p w14:paraId="559C334D" w14:textId="77777777" w:rsidR="00B75193" w:rsidRDefault="00B75193" w:rsidP="00B75193">
      <w:r>
        <w:t>当法规要求时，Nexans还将在可能对个人权利和自由造成高风险的情况下，立即告知受个人数据泄露影响的个人。</w:t>
      </w:r>
    </w:p>
    <w:p w14:paraId="486CD790" w14:textId="176E4B02" w:rsidR="00422190" w:rsidRDefault="00720F94" w:rsidP="006254A2">
      <w:pPr>
        <w:jc w:val="both"/>
        <w:rPr>
          <w:rFonts w:cs="Arial"/>
          <w:color w:val="000000" w:themeColor="text1"/>
          <w:szCs w:val="20"/>
        </w:rPr>
      </w:pPr>
      <w:r>
        <w:t>如果发生数据泄露，请立即联系本地数据保护代理和DPO组。</w:t>
      </w:r>
    </w:p>
    <w:p w14:paraId="5A8518C0" w14:textId="67D3B96D" w:rsidR="00B75193" w:rsidRPr="002E0DDB" w:rsidRDefault="00422190" w:rsidP="00E053D8">
      <w:pPr>
        <w:pStyle w:val="a4"/>
        <w:numPr>
          <w:ilvl w:val="1"/>
          <w:numId w:val="13"/>
        </w:numPr>
        <w:jc w:val="both"/>
        <w:rPr>
          <w:rFonts w:cs="Arial"/>
          <w:b/>
          <w:color w:val="000000" w:themeColor="text1"/>
          <w:szCs w:val="20"/>
        </w:rPr>
      </w:pPr>
      <w:r>
        <w:t>处理和/或目的的演变</w:t>
      </w:r>
    </w:p>
    <w:p w14:paraId="0F2FAD01" w14:textId="07924208" w:rsidR="00FC5C7F" w:rsidRDefault="00422190" w:rsidP="00422190">
      <w:pPr>
        <w:jc w:val="both"/>
        <w:rPr>
          <w:rFonts w:cs="Arial"/>
          <w:color w:val="000000" w:themeColor="text1"/>
          <w:szCs w:val="20"/>
        </w:rPr>
      </w:pPr>
      <w:r>
        <w:t>应用程序通常会受到新的模块或更新的影响，这可能意味着新的处理和/或新的目的：始终询问您的服务提供商这些新功能对个人数据处理的影响。</w:t>
      </w:r>
    </w:p>
    <w:p w14:paraId="27E5731A" w14:textId="1AE3DC2C" w:rsidR="00D213A5" w:rsidRPr="00C35F98" w:rsidRDefault="00720F94" w:rsidP="00C35F98">
      <w:pPr>
        <w:jc w:val="both"/>
        <w:rPr>
          <w:rFonts w:cs="Arial"/>
          <w:color w:val="000000" w:themeColor="text1"/>
          <w:szCs w:val="20"/>
        </w:rPr>
      </w:pPr>
      <w:r>
        <w:t>如果是这样的话，你将不得不回答上述部分或全部问题。</w:t>
      </w:r>
    </w:p>
    <w:tbl>
      <w:tblPr>
        <w:tblStyle w:val="a5"/>
        <w:tblW w:w="0" w:type="auto"/>
        <w:tblLook w:val="04A0" w:firstRow="1" w:lastRow="0" w:firstColumn="1" w:lastColumn="0" w:noHBand="0" w:noVBand="1"/>
      </w:tblPr>
      <w:tblGrid>
        <w:gridCol w:w="9546"/>
      </w:tblGrid>
      <w:tr w:rsidR="00C56C09" w:rsidRPr="00D213A5" w14:paraId="26016B83" w14:textId="77777777" w:rsidTr="00C56C09">
        <w:tc>
          <w:tcPr>
            <w:tcW w:w="9546" w:type="dxa"/>
          </w:tcPr>
          <w:p w14:paraId="6C5B5F53" w14:textId="77777777" w:rsidR="00955C2E" w:rsidRPr="00D213A5" w:rsidRDefault="00955C2E" w:rsidP="00955C2E">
            <w:pPr>
              <w:jc w:val="center"/>
              <w:rPr>
                <w:rFonts w:cs="Arial"/>
                <w:b/>
                <w:szCs w:val="20"/>
              </w:rPr>
            </w:pPr>
            <w:r/>
          </w:p>
          <w:p w14:paraId="62B5B681" w14:textId="77777777" w:rsidR="00B66112" w:rsidRDefault="00B66112" w:rsidP="00D213A5">
            <w:pPr>
              <w:jc w:val="center"/>
              <w:rPr>
                <w:rFonts w:cs="Arial"/>
                <w:b/>
                <w:szCs w:val="20"/>
              </w:rPr>
            </w:pPr>
            <w:r/>
          </w:p>
          <w:p w14:paraId="20C88A4B" w14:textId="44044536" w:rsidR="00B66112" w:rsidRDefault="00B66112" w:rsidP="00D213A5">
            <w:pPr>
              <w:jc w:val="center"/>
              <w:rPr>
                <w:rFonts w:cs="Arial"/>
                <w:b/>
                <w:szCs w:val="20"/>
              </w:rPr>
            </w:pPr>
            <w:r>
              <w:t>在个人数据处理开始时，集团DPO或本地数据保护通讯员和企业IS应始终预先参与。</w:t>
            </w:r>
          </w:p>
          <w:p w14:paraId="2416379C" w14:textId="77777777" w:rsidR="00422190" w:rsidRDefault="00422190" w:rsidP="00D213A5">
            <w:pPr>
              <w:jc w:val="center"/>
              <w:rPr>
                <w:rFonts w:cs="Arial"/>
                <w:b/>
                <w:szCs w:val="20"/>
              </w:rPr>
            </w:pPr>
            <w:r/>
          </w:p>
          <w:p w14:paraId="19C718BC" w14:textId="13477B93" w:rsidR="00B66112" w:rsidRDefault="00B66112" w:rsidP="00D213A5">
            <w:pPr>
              <w:jc w:val="center"/>
              <w:rPr>
                <w:rFonts w:cs="Arial"/>
                <w:b/>
                <w:szCs w:val="20"/>
              </w:rPr>
            </w:pPr>
            <w:r>
              <w:t>有什么问题吗？请联系DPO或当地数据保护通讯员或法律部门。</w:t>
            </w:r>
          </w:p>
          <w:p w14:paraId="1F694ED1" w14:textId="060CA291" w:rsidR="00422190" w:rsidRPr="00D213A5" w:rsidRDefault="00422190" w:rsidP="00D213A5">
            <w:pPr>
              <w:jc w:val="center"/>
              <w:rPr>
                <w:rFonts w:cs="Arial"/>
                <w:b/>
                <w:szCs w:val="20"/>
              </w:rPr>
            </w:pPr>
            <w:r/>
          </w:p>
        </w:tc>
      </w:tr>
    </w:tbl>
    <w:p w14:paraId="23380087" w14:textId="19795EB4" w:rsidR="005347A2" w:rsidRDefault="005347A2" w:rsidP="00A92A12">
      <w:r/>
    </w:p>
    <w:sectPr w:rsidR="005347A2" w:rsidSect="006E01FA">
      <w:headerReference w:type="default" r:id="rId8"/>
      <w:footerReference w:type="default" r:id="rId9"/>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092471" w14:textId="77777777" w:rsidR="00AB5069" w:rsidRDefault="00AB5069" w:rsidP="001B65C1">
      <w:pPr>
        <w:spacing w:after="0" w:line="240" w:lineRule="auto"/>
      </w:pPr>
      <w:r>
        <w:separator/>
      </w:r>
    </w:p>
  </w:endnote>
  <w:endnote w:type="continuationSeparator" w:id="0">
    <w:p w14:paraId="7F588C31" w14:textId="77777777" w:rsidR="00AB5069" w:rsidRDefault="00AB5069" w:rsidP="001B65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uturaA Bk BT">
    <w:panose1 w:val="020B0502020204020303"/>
    <w:charset w:val="00"/>
    <w:family w:val="swiss"/>
    <w:pitch w:val="variable"/>
    <w:sig w:usb0="00000087" w:usb1="00000000" w:usb2="00000000" w:usb3="00000000" w:csb0="0000001B"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83E217" w14:textId="73BE9C2A" w:rsidR="001B65C1" w:rsidRPr="00320E17" w:rsidRDefault="009B3B0E">
    <w:pPr>
      <w:pStyle w:val="af2"/>
      <w:rPr>
        <w:i/>
        <w:sz w:val="16"/>
        <w:lang w:val="fr-FR"/>
      </w:rPr>
    </w:pPr>
    <w:r>
      <w:rPr>
        <w:i/>
        <w:sz w:val="16"/>
        <w:lang w:val="fr-FR"/>
      </w:rPr>
      <w:t>Version 06 04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C9F070" w14:textId="77777777" w:rsidR="00AB5069" w:rsidRDefault="00AB5069" w:rsidP="001B65C1">
      <w:pPr>
        <w:spacing w:after="0" w:line="240" w:lineRule="auto"/>
      </w:pPr>
      <w:r>
        <w:separator/>
      </w:r>
    </w:p>
  </w:footnote>
  <w:footnote w:type="continuationSeparator" w:id="0">
    <w:p w14:paraId="524172A6" w14:textId="77777777" w:rsidR="00AB5069" w:rsidRDefault="00AB5069" w:rsidP="001B65C1">
      <w:pPr>
        <w:spacing w:after="0" w:line="240" w:lineRule="auto"/>
      </w:pPr>
      <w:r>
        <w:continuationSeparator/>
      </w:r>
    </w:p>
  </w:footnote>
  <w:footnote w:id="1">
    <w:p w14:paraId="0B267009" w14:textId="36E91B11" w:rsidR="00571B26" w:rsidRPr="00571B26" w:rsidRDefault="00571B26">
      <w:pPr>
        <w:pStyle w:val="af4"/>
      </w:pPr>
      <w:r>
        <w:rPr>
          <w:rStyle w:val="af6"/>
        </w:rPr>
        <w:footnoteRef/>
      </w:r>
      <w:r>
        <w:t xml:space="preserve"> Available at </w:t>
      </w:r>
      <w:hyperlink r:id="rId1" w:history="1">
        <w:r w:rsidR="007D4043">
          <w:rPr>
            <w:rStyle w:val="af7"/>
            <w:rFonts w:cs="Arial"/>
            <w:lang w:eastAsia="zh-CN"/>
          </w:rPr>
          <w:t>http://intranet.nexansdomain.global/intranet/document/Download.nx?documentId=121732</w:t>
        </w:r>
      </w:hyperlink>
    </w:p>
  </w:footnote>
  <w:footnote w:id="2">
    <w:p w14:paraId="365A6D91" w14:textId="32DB992A" w:rsidR="00D24731" w:rsidRPr="00D24731" w:rsidRDefault="00D24731">
      <w:pPr>
        <w:pStyle w:val="af4"/>
      </w:pPr>
      <w:r>
        <w:rPr>
          <w:rStyle w:val="af6"/>
        </w:rPr>
        <w:footnoteRef/>
      </w:r>
      <w:r>
        <w:t xml:space="preserve"> </w:t>
      </w:r>
      <w:r w:rsidR="007D4043">
        <w:t>A</w:t>
      </w:r>
      <w:r>
        <w:rPr>
          <w:rFonts w:cs="Arial"/>
          <w:color w:val="000000" w:themeColor="text1"/>
        </w:rPr>
        <w:t xml:space="preserve">vailable at </w:t>
      </w:r>
      <w:hyperlink r:id="rId2" w:history="1">
        <w:r w:rsidRPr="00837166">
          <w:rPr>
            <w:rStyle w:val="af7"/>
            <w:rFonts w:cs="Arial"/>
          </w:rPr>
          <w:t>http://intranet.nexansdomain.global/intranet/navigation/NavigateEditorialContent.nx?editorialId=115779&amp;navigationId=25079</w:t>
        </w:r>
      </w:hyperlink>
    </w:p>
  </w:footnote>
  <w:footnote w:id="3">
    <w:p w14:paraId="1E3C474E" w14:textId="009543A1" w:rsidR="007D4043" w:rsidRDefault="00D24731" w:rsidP="007D4043">
      <w:pPr>
        <w:rPr>
          <w:rFonts w:cs="Arial"/>
          <w:color w:val="44546A"/>
          <w:szCs w:val="20"/>
          <w:lang w:eastAsia="zh-CN"/>
        </w:rPr>
      </w:pPr>
      <w:r>
        <w:rPr>
          <w:rStyle w:val="af6"/>
        </w:rPr>
        <w:footnoteRef/>
      </w:r>
      <w:r>
        <w:t xml:space="preserve"> </w:t>
      </w:r>
      <w:r w:rsidR="007D4043">
        <w:t>A</w:t>
      </w:r>
      <w:r w:rsidRPr="00080C0E">
        <w:rPr>
          <w:rFonts w:cs="Arial"/>
          <w:color w:val="000000" w:themeColor="text1"/>
        </w:rPr>
        <w:t xml:space="preserve">vailable at </w:t>
      </w:r>
      <w:hyperlink r:id="rId3" w:history="1">
        <w:r w:rsidR="00837166">
          <w:rPr>
            <w:rStyle w:val="af7"/>
            <w:rFonts w:cs="Arial"/>
            <w:szCs w:val="20"/>
            <w:lang w:eastAsia="zh-CN"/>
          </w:rPr>
          <w:t>http://intranet.nexansdomain.global/intranet/document/Download.nx?documentId=121658</w:t>
        </w:r>
      </w:hyperlink>
    </w:p>
    <w:p w14:paraId="054B832C" w14:textId="0C5E71B1" w:rsidR="00D24731" w:rsidRPr="00D24731" w:rsidRDefault="00D24731">
      <w:pPr>
        <w:pStyle w:val="af4"/>
      </w:pPr>
    </w:p>
  </w:footnote>
  <w:footnote w:id="4">
    <w:p w14:paraId="3BA74F30" w14:textId="571F6FA6" w:rsidR="00D24731" w:rsidRPr="00837166" w:rsidRDefault="00D24731" w:rsidP="00837166">
      <w:pPr>
        <w:spacing w:after="0"/>
        <w:rPr>
          <w:rFonts w:cs="Arial"/>
          <w:color w:val="44546A"/>
          <w:szCs w:val="20"/>
          <w:lang w:eastAsia="zh-CN"/>
        </w:rPr>
      </w:pPr>
      <w:r>
        <w:rPr>
          <w:rStyle w:val="af6"/>
        </w:rPr>
        <w:footnoteRef/>
      </w:r>
      <w:r>
        <w:t xml:space="preserve"> </w:t>
      </w:r>
      <w:r w:rsidR="00837166">
        <w:rPr>
          <w:rFonts w:cs="Arial"/>
          <w:color w:val="000000" w:themeColor="text1"/>
        </w:rPr>
        <w:t>A</w:t>
      </w:r>
      <w:r w:rsidRPr="00080C0E">
        <w:rPr>
          <w:rFonts w:cs="Arial"/>
          <w:color w:val="000000" w:themeColor="text1"/>
        </w:rPr>
        <w:t xml:space="preserve">vailable at </w:t>
      </w:r>
      <w:hyperlink r:id="rId4" w:history="1">
        <w:r w:rsidR="00837166">
          <w:rPr>
            <w:rStyle w:val="af7"/>
            <w:rFonts w:cs="Arial"/>
            <w:szCs w:val="20"/>
            <w:lang w:eastAsia="zh-CN"/>
          </w:rPr>
          <w:t>http://intranet.nexansdomain.global/intranet/document/Download.nx?documentId=121614</w:t>
        </w:r>
      </w:hyperlink>
    </w:p>
  </w:footnote>
  <w:footnote w:id="5">
    <w:p w14:paraId="343ED2CE" w14:textId="22E3882A" w:rsidR="00DB1CF8" w:rsidRPr="00DB1CF8" w:rsidRDefault="00DB1CF8">
      <w:pPr>
        <w:pStyle w:val="af4"/>
      </w:pPr>
      <w:r>
        <w:rPr>
          <w:rStyle w:val="af6"/>
        </w:rPr>
        <w:footnoteRef/>
      </w:r>
      <w:r>
        <w:t xml:space="preserve"> List of countries offering an adequate level of protection as of February 16, 2018: </w:t>
      </w:r>
      <w:r w:rsidRPr="008B5806">
        <w:rPr>
          <w:rStyle w:val="md"/>
          <w:rFonts w:cs="Arial"/>
        </w:rPr>
        <w:t>U.S., Switzerland, Andorra, the Faroe Islands, Guernsey, Jersey, the Isle of Man, Argentina, Canada, Israel, New Zealand and Uruguay</w:t>
      </w:r>
    </w:p>
  </w:footnote>
  <w:footnote w:id="6">
    <w:p w14:paraId="0558CB7D" w14:textId="2CDA71E7" w:rsidR="00DB1CF8" w:rsidRPr="00E53DE5" w:rsidRDefault="00DB1CF8">
      <w:pPr>
        <w:pStyle w:val="af4"/>
      </w:pPr>
      <w:r>
        <w:rPr>
          <w:rStyle w:val="af6"/>
        </w:rPr>
        <w:footnoteRef/>
      </w:r>
      <w:r>
        <w:t xml:space="preserve"> </w:t>
      </w:r>
      <w:r w:rsidRPr="00E53DE5">
        <w:t xml:space="preserve">Accessible on-line at : </w:t>
      </w:r>
      <w:hyperlink r:id="rId5" w:history="1">
        <w:r w:rsidR="00A95291" w:rsidRPr="00837166">
          <w:rPr>
            <w:rStyle w:val="af7"/>
          </w:rPr>
          <w:t>https://ec.europa.eu/info/law/law-topic/data-protection/data-transfers-outside-eu/model-contracts-transfer-personal-data-third-countries_en</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7A850B" w14:textId="0DDDCCA5" w:rsidR="00320E17" w:rsidRPr="00320E17" w:rsidRDefault="009B3B0E">
    <w:pPr>
      <w:pStyle w:val="af0"/>
      <w:rPr>
        <w:i/>
      </w:rPr>
    </w:pPr>
    <w:r>
      <w:rPr>
        <w:i/>
      </w:rPr>
      <w:t>F</w:t>
    </w:r>
    <w:r w:rsidR="00320E17" w:rsidRPr="00320E17">
      <w:rPr>
        <w:i/>
      </w:rPr>
      <w:t>or int</w:t>
    </w:r>
    <w:r w:rsidR="00320E17">
      <w:rPr>
        <w:i/>
      </w:rPr>
      <w:t>er</w:t>
    </w:r>
    <w:r w:rsidR="00320E17" w:rsidRPr="00320E17">
      <w:rPr>
        <w:i/>
      </w:rPr>
      <w:t>nal use only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25C44"/>
    <w:multiLevelType w:val="hybridMultilevel"/>
    <w:tmpl w:val="71CADC5C"/>
    <w:lvl w:ilvl="0" w:tplc="38125DF8">
      <w:start w:val="1"/>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9C73FDE"/>
    <w:multiLevelType w:val="hybridMultilevel"/>
    <w:tmpl w:val="CD0E26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CC10848"/>
    <w:multiLevelType w:val="multilevel"/>
    <w:tmpl w:val="BACA7E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F35A62"/>
    <w:multiLevelType w:val="hybridMultilevel"/>
    <w:tmpl w:val="DB5CE9E4"/>
    <w:lvl w:ilvl="0" w:tplc="70308550">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53E309F"/>
    <w:multiLevelType w:val="hybridMultilevel"/>
    <w:tmpl w:val="4DF634EA"/>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B073879"/>
    <w:multiLevelType w:val="hybridMultilevel"/>
    <w:tmpl w:val="14882D46"/>
    <w:lvl w:ilvl="0" w:tplc="90AA634A">
      <w:start w:val="1"/>
      <w:numFmt w:val="decimal"/>
      <w:lvlText w:val="%1)"/>
      <w:lvlJc w:val="left"/>
      <w:pPr>
        <w:ind w:left="720" w:hanging="360"/>
      </w:pPr>
      <w:rPr>
        <w:rFonts w:ascii="Times New Roman" w:hAnsi="Times New Roman" w:cs="Times New Roman" w:hint="default"/>
        <w:sz w:val="22"/>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F6820A9"/>
    <w:multiLevelType w:val="multilevel"/>
    <w:tmpl w:val="6D306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C3450D"/>
    <w:multiLevelType w:val="hybridMultilevel"/>
    <w:tmpl w:val="4AF8626E"/>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598D46DC"/>
    <w:multiLevelType w:val="hybridMultilevel"/>
    <w:tmpl w:val="8A289CF8"/>
    <w:lvl w:ilvl="0" w:tplc="90AA634A">
      <w:start w:val="1"/>
      <w:numFmt w:val="decimal"/>
      <w:lvlText w:val="%1)"/>
      <w:lvlJc w:val="left"/>
      <w:pPr>
        <w:ind w:left="720" w:hanging="360"/>
      </w:pPr>
      <w:rPr>
        <w:rFonts w:ascii="Times New Roman" w:hAnsi="Times New Roman" w:cs="Times New Roman" w:hint="default"/>
        <w:sz w:val="22"/>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62615F4D"/>
    <w:multiLevelType w:val="hybridMultilevel"/>
    <w:tmpl w:val="B2A620F0"/>
    <w:lvl w:ilvl="0" w:tplc="70308550">
      <w:numFmt w:val="bullet"/>
      <w:lvlText w:val="-"/>
      <w:lvlJc w:val="left"/>
      <w:pPr>
        <w:ind w:left="1500" w:hanging="360"/>
      </w:pPr>
      <w:rPr>
        <w:rFonts w:ascii="Arial" w:eastAsiaTheme="minorHAnsi" w:hAnsi="Arial" w:cs="Arial" w:hint="default"/>
      </w:rPr>
    </w:lvl>
    <w:lvl w:ilvl="1" w:tplc="040C0003" w:tentative="1">
      <w:start w:val="1"/>
      <w:numFmt w:val="bullet"/>
      <w:lvlText w:val="o"/>
      <w:lvlJc w:val="left"/>
      <w:pPr>
        <w:ind w:left="2220" w:hanging="360"/>
      </w:pPr>
      <w:rPr>
        <w:rFonts w:ascii="Courier New" w:hAnsi="Courier New" w:cs="Courier New" w:hint="default"/>
      </w:rPr>
    </w:lvl>
    <w:lvl w:ilvl="2" w:tplc="040C0005" w:tentative="1">
      <w:start w:val="1"/>
      <w:numFmt w:val="bullet"/>
      <w:lvlText w:val=""/>
      <w:lvlJc w:val="left"/>
      <w:pPr>
        <w:ind w:left="2940" w:hanging="360"/>
      </w:pPr>
      <w:rPr>
        <w:rFonts w:ascii="Wingdings" w:hAnsi="Wingdings" w:hint="default"/>
      </w:rPr>
    </w:lvl>
    <w:lvl w:ilvl="3" w:tplc="040C0001" w:tentative="1">
      <w:start w:val="1"/>
      <w:numFmt w:val="bullet"/>
      <w:lvlText w:val=""/>
      <w:lvlJc w:val="left"/>
      <w:pPr>
        <w:ind w:left="3660" w:hanging="360"/>
      </w:pPr>
      <w:rPr>
        <w:rFonts w:ascii="Symbol" w:hAnsi="Symbol" w:hint="default"/>
      </w:rPr>
    </w:lvl>
    <w:lvl w:ilvl="4" w:tplc="040C0003" w:tentative="1">
      <w:start w:val="1"/>
      <w:numFmt w:val="bullet"/>
      <w:lvlText w:val="o"/>
      <w:lvlJc w:val="left"/>
      <w:pPr>
        <w:ind w:left="4380" w:hanging="360"/>
      </w:pPr>
      <w:rPr>
        <w:rFonts w:ascii="Courier New" w:hAnsi="Courier New" w:cs="Courier New" w:hint="default"/>
      </w:rPr>
    </w:lvl>
    <w:lvl w:ilvl="5" w:tplc="040C0005" w:tentative="1">
      <w:start w:val="1"/>
      <w:numFmt w:val="bullet"/>
      <w:lvlText w:val=""/>
      <w:lvlJc w:val="left"/>
      <w:pPr>
        <w:ind w:left="5100" w:hanging="360"/>
      </w:pPr>
      <w:rPr>
        <w:rFonts w:ascii="Wingdings" w:hAnsi="Wingdings" w:hint="default"/>
      </w:rPr>
    </w:lvl>
    <w:lvl w:ilvl="6" w:tplc="040C0001" w:tentative="1">
      <w:start w:val="1"/>
      <w:numFmt w:val="bullet"/>
      <w:lvlText w:val=""/>
      <w:lvlJc w:val="left"/>
      <w:pPr>
        <w:ind w:left="5820" w:hanging="360"/>
      </w:pPr>
      <w:rPr>
        <w:rFonts w:ascii="Symbol" w:hAnsi="Symbol" w:hint="default"/>
      </w:rPr>
    </w:lvl>
    <w:lvl w:ilvl="7" w:tplc="040C0003" w:tentative="1">
      <w:start w:val="1"/>
      <w:numFmt w:val="bullet"/>
      <w:lvlText w:val="o"/>
      <w:lvlJc w:val="left"/>
      <w:pPr>
        <w:ind w:left="6540" w:hanging="360"/>
      </w:pPr>
      <w:rPr>
        <w:rFonts w:ascii="Courier New" w:hAnsi="Courier New" w:cs="Courier New" w:hint="default"/>
      </w:rPr>
    </w:lvl>
    <w:lvl w:ilvl="8" w:tplc="040C0005" w:tentative="1">
      <w:start w:val="1"/>
      <w:numFmt w:val="bullet"/>
      <w:lvlText w:val=""/>
      <w:lvlJc w:val="left"/>
      <w:pPr>
        <w:ind w:left="7260" w:hanging="360"/>
      </w:pPr>
      <w:rPr>
        <w:rFonts w:ascii="Wingdings" w:hAnsi="Wingdings" w:hint="default"/>
      </w:rPr>
    </w:lvl>
  </w:abstractNum>
  <w:abstractNum w:abstractNumId="10" w15:restartNumberingAfterBreak="0">
    <w:nsid w:val="656A51AE"/>
    <w:multiLevelType w:val="multilevel"/>
    <w:tmpl w:val="C77C5E5A"/>
    <w:lvl w:ilvl="0">
      <w:start w:val="1"/>
      <w:numFmt w:val="decimal"/>
      <w:lvlText w:val="%1."/>
      <w:lvlJc w:val="left"/>
      <w:pPr>
        <w:ind w:left="360" w:hanging="360"/>
      </w:pPr>
    </w:lvl>
    <w:lvl w:ilvl="1">
      <w:start w:val="1"/>
      <w:numFmt w:val="decimal"/>
      <w:lvlText w:val="%1.%2."/>
      <w:lvlJc w:val="left"/>
      <w:pPr>
        <w:ind w:left="792" w:hanging="432"/>
      </w:pPr>
      <w:rPr>
        <w:b/>
        <w:u w:val="none"/>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746418B"/>
    <w:multiLevelType w:val="hybridMultilevel"/>
    <w:tmpl w:val="9CB2C634"/>
    <w:lvl w:ilvl="0" w:tplc="49F215A2">
      <w:start w:val="1"/>
      <w:numFmt w:val="decimal"/>
      <w:lvlText w:val="%1)"/>
      <w:lvlJc w:val="left"/>
      <w:pPr>
        <w:ind w:left="360" w:hanging="360"/>
      </w:pPr>
      <w:rPr>
        <w:rFonts w:ascii="Lucida Sans Unicode" w:hAnsi="Lucida Sans Unicode" w:cs="Lucida Sans Unicode" w:hint="default"/>
        <w:color w:val="414042"/>
        <w:sz w:val="18"/>
      </w:rPr>
    </w:lvl>
    <w:lvl w:ilvl="1" w:tplc="040C0019">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2" w15:restartNumberingAfterBreak="0">
    <w:nsid w:val="7B775D23"/>
    <w:multiLevelType w:val="hybridMultilevel"/>
    <w:tmpl w:val="723E529A"/>
    <w:lvl w:ilvl="0" w:tplc="3E884D34">
      <w:start w:val="1"/>
      <w:numFmt w:val="bullet"/>
      <w:lvlText w:val="•"/>
      <w:lvlJc w:val="left"/>
      <w:pPr>
        <w:tabs>
          <w:tab w:val="num" w:pos="720"/>
        </w:tabs>
        <w:ind w:left="720" w:hanging="360"/>
      </w:pPr>
      <w:rPr>
        <w:rFonts w:ascii="Arial" w:hAnsi="Arial"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2D58E62A" w:tentative="1">
      <w:start w:val="1"/>
      <w:numFmt w:val="bullet"/>
      <w:lvlText w:val="•"/>
      <w:lvlJc w:val="left"/>
      <w:pPr>
        <w:tabs>
          <w:tab w:val="num" w:pos="2160"/>
        </w:tabs>
        <w:ind w:left="2160" w:hanging="360"/>
      </w:pPr>
      <w:rPr>
        <w:rFonts w:ascii="Arial" w:hAnsi="Arial" w:hint="default"/>
      </w:rPr>
    </w:lvl>
    <w:lvl w:ilvl="3" w:tplc="91DC34E6" w:tentative="1">
      <w:start w:val="1"/>
      <w:numFmt w:val="bullet"/>
      <w:lvlText w:val="•"/>
      <w:lvlJc w:val="left"/>
      <w:pPr>
        <w:tabs>
          <w:tab w:val="num" w:pos="2880"/>
        </w:tabs>
        <w:ind w:left="2880" w:hanging="360"/>
      </w:pPr>
      <w:rPr>
        <w:rFonts w:ascii="Arial" w:hAnsi="Arial" w:hint="default"/>
      </w:rPr>
    </w:lvl>
    <w:lvl w:ilvl="4" w:tplc="E3663D08" w:tentative="1">
      <w:start w:val="1"/>
      <w:numFmt w:val="bullet"/>
      <w:lvlText w:val="•"/>
      <w:lvlJc w:val="left"/>
      <w:pPr>
        <w:tabs>
          <w:tab w:val="num" w:pos="3600"/>
        </w:tabs>
        <w:ind w:left="3600" w:hanging="360"/>
      </w:pPr>
      <w:rPr>
        <w:rFonts w:ascii="Arial" w:hAnsi="Arial" w:hint="default"/>
      </w:rPr>
    </w:lvl>
    <w:lvl w:ilvl="5" w:tplc="BC8A8A82" w:tentative="1">
      <w:start w:val="1"/>
      <w:numFmt w:val="bullet"/>
      <w:lvlText w:val="•"/>
      <w:lvlJc w:val="left"/>
      <w:pPr>
        <w:tabs>
          <w:tab w:val="num" w:pos="4320"/>
        </w:tabs>
        <w:ind w:left="4320" w:hanging="360"/>
      </w:pPr>
      <w:rPr>
        <w:rFonts w:ascii="Arial" w:hAnsi="Arial" w:hint="default"/>
      </w:rPr>
    </w:lvl>
    <w:lvl w:ilvl="6" w:tplc="47701682" w:tentative="1">
      <w:start w:val="1"/>
      <w:numFmt w:val="bullet"/>
      <w:lvlText w:val="•"/>
      <w:lvlJc w:val="left"/>
      <w:pPr>
        <w:tabs>
          <w:tab w:val="num" w:pos="5040"/>
        </w:tabs>
        <w:ind w:left="5040" w:hanging="360"/>
      </w:pPr>
      <w:rPr>
        <w:rFonts w:ascii="Arial" w:hAnsi="Arial" w:hint="default"/>
      </w:rPr>
    </w:lvl>
    <w:lvl w:ilvl="7" w:tplc="BA6A2E22" w:tentative="1">
      <w:start w:val="1"/>
      <w:numFmt w:val="bullet"/>
      <w:lvlText w:val="•"/>
      <w:lvlJc w:val="left"/>
      <w:pPr>
        <w:tabs>
          <w:tab w:val="num" w:pos="5760"/>
        </w:tabs>
        <w:ind w:left="5760" w:hanging="360"/>
      </w:pPr>
      <w:rPr>
        <w:rFonts w:ascii="Arial" w:hAnsi="Arial" w:hint="default"/>
      </w:rPr>
    </w:lvl>
    <w:lvl w:ilvl="8" w:tplc="1516481C"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7F4F5DA3"/>
    <w:multiLevelType w:val="hybridMultilevel"/>
    <w:tmpl w:val="99F619B6"/>
    <w:lvl w:ilvl="0" w:tplc="75884376">
      <w:numFmt w:val="bullet"/>
      <w:lvlText w:val="-"/>
      <w:lvlJc w:val="left"/>
      <w:pPr>
        <w:ind w:left="720" w:hanging="360"/>
      </w:pPr>
      <w:rPr>
        <w:rFonts w:ascii="Calibri" w:eastAsia="Calibri" w:hAnsi="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7"/>
  </w:num>
  <w:num w:numId="4">
    <w:abstractNumId w:val="2"/>
  </w:num>
  <w:num w:numId="5">
    <w:abstractNumId w:val="12"/>
  </w:num>
  <w:num w:numId="6">
    <w:abstractNumId w:val="3"/>
  </w:num>
  <w:num w:numId="7">
    <w:abstractNumId w:val="13"/>
  </w:num>
  <w:num w:numId="8">
    <w:abstractNumId w:val="6"/>
  </w:num>
  <w:num w:numId="9">
    <w:abstractNumId w:val="8"/>
  </w:num>
  <w:num w:numId="10">
    <w:abstractNumId w:val="9"/>
  </w:num>
  <w:num w:numId="11">
    <w:abstractNumId w:val="4"/>
  </w:num>
  <w:num w:numId="12">
    <w:abstractNumId w:val="1"/>
  </w:num>
  <w:num w:numId="13">
    <w:abstractNumId w:val="1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hideGrammaticalErrors/>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037A5"/>
    <w:rsid w:val="00014B30"/>
    <w:rsid w:val="00017A74"/>
    <w:rsid w:val="000464AD"/>
    <w:rsid w:val="00080C0E"/>
    <w:rsid w:val="000A01F3"/>
    <w:rsid w:val="000A3A29"/>
    <w:rsid w:val="000A59C1"/>
    <w:rsid w:val="000D6959"/>
    <w:rsid w:val="000E6BCF"/>
    <w:rsid w:val="000F4C17"/>
    <w:rsid w:val="00106BF5"/>
    <w:rsid w:val="00111C71"/>
    <w:rsid w:val="00116CFF"/>
    <w:rsid w:val="00120C50"/>
    <w:rsid w:val="001246D1"/>
    <w:rsid w:val="00126F48"/>
    <w:rsid w:val="00162A94"/>
    <w:rsid w:val="00163918"/>
    <w:rsid w:val="001673A7"/>
    <w:rsid w:val="00197A28"/>
    <w:rsid w:val="001A1D3C"/>
    <w:rsid w:val="001B65C1"/>
    <w:rsid w:val="001C2B56"/>
    <w:rsid w:val="001C3D24"/>
    <w:rsid w:val="001E6CF6"/>
    <w:rsid w:val="001F3BC1"/>
    <w:rsid w:val="00205D0E"/>
    <w:rsid w:val="00223517"/>
    <w:rsid w:val="002315F5"/>
    <w:rsid w:val="00242036"/>
    <w:rsid w:val="00242CA5"/>
    <w:rsid w:val="00251054"/>
    <w:rsid w:val="00255EC3"/>
    <w:rsid w:val="00262820"/>
    <w:rsid w:val="002640A4"/>
    <w:rsid w:val="00277C76"/>
    <w:rsid w:val="002A3353"/>
    <w:rsid w:val="002C122A"/>
    <w:rsid w:val="002E0DDB"/>
    <w:rsid w:val="0031408A"/>
    <w:rsid w:val="003179C9"/>
    <w:rsid w:val="00320E17"/>
    <w:rsid w:val="00322671"/>
    <w:rsid w:val="00324D33"/>
    <w:rsid w:val="00350DC2"/>
    <w:rsid w:val="0037581F"/>
    <w:rsid w:val="003876A5"/>
    <w:rsid w:val="003907A9"/>
    <w:rsid w:val="003C634D"/>
    <w:rsid w:val="003D53C0"/>
    <w:rsid w:val="004037A5"/>
    <w:rsid w:val="00422190"/>
    <w:rsid w:val="00424779"/>
    <w:rsid w:val="00472FA5"/>
    <w:rsid w:val="004A46E4"/>
    <w:rsid w:val="004A49E5"/>
    <w:rsid w:val="004E79A7"/>
    <w:rsid w:val="004F2834"/>
    <w:rsid w:val="004F5459"/>
    <w:rsid w:val="005347A2"/>
    <w:rsid w:val="0056685F"/>
    <w:rsid w:val="00571B26"/>
    <w:rsid w:val="00587FE4"/>
    <w:rsid w:val="005B2969"/>
    <w:rsid w:val="005B670E"/>
    <w:rsid w:val="005D0E4A"/>
    <w:rsid w:val="005D3913"/>
    <w:rsid w:val="005E1CF6"/>
    <w:rsid w:val="005E7A9C"/>
    <w:rsid w:val="00606E4F"/>
    <w:rsid w:val="006254A2"/>
    <w:rsid w:val="006275C9"/>
    <w:rsid w:val="00680C28"/>
    <w:rsid w:val="0068314B"/>
    <w:rsid w:val="00685C79"/>
    <w:rsid w:val="006B5B3C"/>
    <w:rsid w:val="006C4E4D"/>
    <w:rsid w:val="006E01FA"/>
    <w:rsid w:val="006E1863"/>
    <w:rsid w:val="006F0D23"/>
    <w:rsid w:val="00720F94"/>
    <w:rsid w:val="00727F69"/>
    <w:rsid w:val="007647C9"/>
    <w:rsid w:val="007864BD"/>
    <w:rsid w:val="00792AD1"/>
    <w:rsid w:val="00794291"/>
    <w:rsid w:val="007A7736"/>
    <w:rsid w:val="007C20E0"/>
    <w:rsid w:val="007D4043"/>
    <w:rsid w:val="007E7126"/>
    <w:rsid w:val="00806020"/>
    <w:rsid w:val="00837166"/>
    <w:rsid w:val="00852B00"/>
    <w:rsid w:val="00861360"/>
    <w:rsid w:val="00864A7C"/>
    <w:rsid w:val="00864D6E"/>
    <w:rsid w:val="00886102"/>
    <w:rsid w:val="008A2075"/>
    <w:rsid w:val="008B19C7"/>
    <w:rsid w:val="008B5806"/>
    <w:rsid w:val="008D2DD7"/>
    <w:rsid w:val="008E2991"/>
    <w:rsid w:val="008E5216"/>
    <w:rsid w:val="00916F92"/>
    <w:rsid w:val="00920812"/>
    <w:rsid w:val="0092169C"/>
    <w:rsid w:val="00922B69"/>
    <w:rsid w:val="00927D01"/>
    <w:rsid w:val="00931BC3"/>
    <w:rsid w:val="0093696A"/>
    <w:rsid w:val="00943C82"/>
    <w:rsid w:val="00955C2E"/>
    <w:rsid w:val="00956EEF"/>
    <w:rsid w:val="009655B2"/>
    <w:rsid w:val="00967D14"/>
    <w:rsid w:val="00970A3C"/>
    <w:rsid w:val="00975758"/>
    <w:rsid w:val="009806A2"/>
    <w:rsid w:val="0098345C"/>
    <w:rsid w:val="009A46FD"/>
    <w:rsid w:val="009B3B0E"/>
    <w:rsid w:val="009C0EFC"/>
    <w:rsid w:val="009C4247"/>
    <w:rsid w:val="009C5030"/>
    <w:rsid w:val="009C60CF"/>
    <w:rsid w:val="009D5C2D"/>
    <w:rsid w:val="009E0F56"/>
    <w:rsid w:val="00A57D12"/>
    <w:rsid w:val="00A61377"/>
    <w:rsid w:val="00A92A12"/>
    <w:rsid w:val="00A95291"/>
    <w:rsid w:val="00AB26BD"/>
    <w:rsid w:val="00AB5069"/>
    <w:rsid w:val="00AC0C8B"/>
    <w:rsid w:val="00AC55B0"/>
    <w:rsid w:val="00AC654B"/>
    <w:rsid w:val="00AD0C02"/>
    <w:rsid w:val="00AD6AAB"/>
    <w:rsid w:val="00B33AB4"/>
    <w:rsid w:val="00B4495F"/>
    <w:rsid w:val="00B66112"/>
    <w:rsid w:val="00B75193"/>
    <w:rsid w:val="00B75BDB"/>
    <w:rsid w:val="00B91133"/>
    <w:rsid w:val="00BE517E"/>
    <w:rsid w:val="00C06960"/>
    <w:rsid w:val="00C14E6F"/>
    <w:rsid w:val="00C25A4E"/>
    <w:rsid w:val="00C32474"/>
    <w:rsid w:val="00C32F7C"/>
    <w:rsid w:val="00C35F98"/>
    <w:rsid w:val="00C56C09"/>
    <w:rsid w:val="00C600BE"/>
    <w:rsid w:val="00C62B09"/>
    <w:rsid w:val="00C7609F"/>
    <w:rsid w:val="00C77A48"/>
    <w:rsid w:val="00C87FFC"/>
    <w:rsid w:val="00C90585"/>
    <w:rsid w:val="00C97923"/>
    <w:rsid w:val="00CF1106"/>
    <w:rsid w:val="00D213A5"/>
    <w:rsid w:val="00D2169B"/>
    <w:rsid w:val="00D24731"/>
    <w:rsid w:val="00D34C9B"/>
    <w:rsid w:val="00D41C00"/>
    <w:rsid w:val="00D52C87"/>
    <w:rsid w:val="00D6740E"/>
    <w:rsid w:val="00D7101F"/>
    <w:rsid w:val="00D7169B"/>
    <w:rsid w:val="00D77ED3"/>
    <w:rsid w:val="00D92A50"/>
    <w:rsid w:val="00DB1CF8"/>
    <w:rsid w:val="00DB4450"/>
    <w:rsid w:val="00DF0B89"/>
    <w:rsid w:val="00E02CD5"/>
    <w:rsid w:val="00E053D8"/>
    <w:rsid w:val="00E53D6A"/>
    <w:rsid w:val="00E53DE5"/>
    <w:rsid w:val="00E553FE"/>
    <w:rsid w:val="00E608AC"/>
    <w:rsid w:val="00E6499E"/>
    <w:rsid w:val="00E6681F"/>
    <w:rsid w:val="00EB29E4"/>
    <w:rsid w:val="00ED672D"/>
    <w:rsid w:val="00EF6F49"/>
    <w:rsid w:val="00F26F78"/>
    <w:rsid w:val="00F40C45"/>
    <w:rsid w:val="00F73AB5"/>
    <w:rsid w:val="00F74288"/>
    <w:rsid w:val="00F778B0"/>
    <w:rsid w:val="00F93329"/>
    <w:rsid w:val="00FA55D6"/>
    <w:rsid w:val="00FB293B"/>
    <w:rsid w:val="00FB79C4"/>
    <w:rsid w:val="00FB7AFB"/>
    <w:rsid w:val="00FC4C6B"/>
    <w:rsid w:val="00FC5C7F"/>
    <w:rsid w:val="00FF6E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24195E"/>
  <w15:chartTrackingRefBased/>
  <w15:docId w15:val="{8A260B12-9809-4DD8-83B8-9EEA59A58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D2DD7"/>
    <w:rPr>
      <w:rFonts w:ascii="Arial" w:hAnsi="Arial"/>
      <w:sz w:val="20"/>
    </w:rPr>
  </w:style>
  <w:style w:type="paragraph" w:styleId="1">
    <w:name w:val="heading 1"/>
    <w:basedOn w:val="a"/>
    <w:next w:val="a"/>
    <w:link w:val="10"/>
    <w:uiPriority w:val="9"/>
    <w:qFormat/>
    <w:rsid w:val="003758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37581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37581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37581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7581F"/>
    <w:rPr>
      <w:rFonts w:asciiTheme="majorHAnsi" w:eastAsiaTheme="majorEastAsia" w:hAnsiTheme="majorHAnsi" w:cstheme="majorBidi"/>
      <w:b/>
      <w:bCs/>
      <w:color w:val="365F91" w:themeColor="accent1" w:themeShade="BF"/>
      <w:sz w:val="28"/>
      <w:szCs w:val="28"/>
    </w:rPr>
  </w:style>
  <w:style w:type="character" w:customStyle="1" w:styleId="20">
    <w:name w:val="标题 2 字符"/>
    <w:basedOn w:val="a0"/>
    <w:link w:val="2"/>
    <w:uiPriority w:val="9"/>
    <w:rsid w:val="0037581F"/>
    <w:rPr>
      <w:rFonts w:asciiTheme="majorHAnsi" w:eastAsiaTheme="majorEastAsia" w:hAnsiTheme="majorHAnsi" w:cstheme="majorBidi"/>
      <w:b/>
      <w:bCs/>
      <w:color w:val="4F81BD" w:themeColor="accent1"/>
      <w:sz w:val="26"/>
      <w:szCs w:val="26"/>
    </w:rPr>
  </w:style>
  <w:style w:type="character" w:customStyle="1" w:styleId="30">
    <w:name w:val="标题 3 字符"/>
    <w:basedOn w:val="a0"/>
    <w:link w:val="3"/>
    <w:uiPriority w:val="9"/>
    <w:rsid w:val="0037581F"/>
    <w:rPr>
      <w:rFonts w:asciiTheme="majorHAnsi" w:eastAsiaTheme="majorEastAsia" w:hAnsiTheme="majorHAnsi" w:cstheme="majorBidi"/>
      <w:b/>
      <w:bCs/>
      <w:color w:val="4F81BD" w:themeColor="accent1"/>
    </w:rPr>
  </w:style>
  <w:style w:type="character" w:customStyle="1" w:styleId="40">
    <w:name w:val="标题 4 字符"/>
    <w:basedOn w:val="a0"/>
    <w:link w:val="4"/>
    <w:uiPriority w:val="9"/>
    <w:rsid w:val="0037581F"/>
    <w:rPr>
      <w:rFonts w:asciiTheme="majorHAnsi" w:eastAsiaTheme="majorEastAsia" w:hAnsiTheme="majorHAnsi" w:cstheme="majorBidi"/>
      <w:b/>
      <w:bCs/>
      <w:i/>
      <w:iCs/>
      <w:color w:val="4F81BD" w:themeColor="accent1"/>
    </w:rPr>
  </w:style>
  <w:style w:type="paragraph" w:styleId="a3">
    <w:name w:val="No Spacing"/>
    <w:uiPriority w:val="1"/>
    <w:qFormat/>
    <w:rsid w:val="0037581F"/>
    <w:pPr>
      <w:spacing w:after="0" w:line="240" w:lineRule="auto"/>
    </w:pPr>
  </w:style>
  <w:style w:type="paragraph" w:styleId="a4">
    <w:name w:val="List Paragraph"/>
    <w:basedOn w:val="a"/>
    <w:uiPriority w:val="34"/>
    <w:qFormat/>
    <w:rsid w:val="001C3D24"/>
    <w:pPr>
      <w:ind w:left="720"/>
      <w:contextualSpacing/>
    </w:pPr>
  </w:style>
  <w:style w:type="table" w:styleId="a5">
    <w:name w:val="Table Grid"/>
    <w:basedOn w:val="a1"/>
    <w:uiPriority w:val="59"/>
    <w:rsid w:val="00FB79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A2075"/>
    <w:pPr>
      <w:autoSpaceDE w:val="0"/>
      <w:autoSpaceDN w:val="0"/>
      <w:adjustRightInd w:val="0"/>
      <w:spacing w:after="0" w:line="240" w:lineRule="auto"/>
    </w:pPr>
    <w:rPr>
      <w:rFonts w:ascii="Calibri" w:hAnsi="Calibri" w:cs="Calibri"/>
      <w:color w:val="000000"/>
      <w:sz w:val="24"/>
      <w:szCs w:val="24"/>
      <w:lang w:val="fr-FR"/>
    </w:rPr>
  </w:style>
  <w:style w:type="paragraph" w:styleId="a6">
    <w:name w:val="Balloon Text"/>
    <w:basedOn w:val="a"/>
    <w:link w:val="a7"/>
    <w:uiPriority w:val="99"/>
    <w:semiHidden/>
    <w:unhideWhenUsed/>
    <w:rsid w:val="005B670E"/>
    <w:pPr>
      <w:spacing w:after="0" w:line="240" w:lineRule="auto"/>
    </w:pPr>
    <w:rPr>
      <w:rFonts w:ascii="Segoe UI" w:hAnsi="Segoe UI" w:cs="Segoe UI"/>
      <w:sz w:val="18"/>
      <w:szCs w:val="18"/>
    </w:rPr>
  </w:style>
  <w:style w:type="character" w:customStyle="1" w:styleId="a7">
    <w:name w:val="批注框文本 字符"/>
    <w:basedOn w:val="a0"/>
    <w:link w:val="a6"/>
    <w:uiPriority w:val="99"/>
    <w:semiHidden/>
    <w:rsid w:val="005B670E"/>
    <w:rPr>
      <w:rFonts w:ascii="Segoe UI" w:hAnsi="Segoe UI" w:cs="Segoe UI"/>
      <w:sz w:val="18"/>
      <w:szCs w:val="18"/>
    </w:rPr>
  </w:style>
  <w:style w:type="character" w:styleId="a8">
    <w:name w:val="annotation reference"/>
    <w:basedOn w:val="a0"/>
    <w:uiPriority w:val="99"/>
    <w:semiHidden/>
    <w:unhideWhenUsed/>
    <w:rsid w:val="005B670E"/>
    <w:rPr>
      <w:sz w:val="16"/>
      <w:szCs w:val="16"/>
    </w:rPr>
  </w:style>
  <w:style w:type="paragraph" w:styleId="a9">
    <w:name w:val="annotation text"/>
    <w:basedOn w:val="a"/>
    <w:link w:val="aa"/>
    <w:uiPriority w:val="99"/>
    <w:semiHidden/>
    <w:unhideWhenUsed/>
    <w:rsid w:val="005B670E"/>
    <w:pPr>
      <w:spacing w:line="240" w:lineRule="auto"/>
    </w:pPr>
    <w:rPr>
      <w:szCs w:val="20"/>
    </w:rPr>
  </w:style>
  <w:style w:type="character" w:customStyle="1" w:styleId="aa">
    <w:name w:val="批注文字 字符"/>
    <w:basedOn w:val="a0"/>
    <w:link w:val="a9"/>
    <w:uiPriority w:val="99"/>
    <w:semiHidden/>
    <w:rsid w:val="005B670E"/>
    <w:rPr>
      <w:rFonts w:ascii="Arial" w:hAnsi="Arial"/>
      <w:sz w:val="20"/>
      <w:szCs w:val="20"/>
    </w:rPr>
  </w:style>
  <w:style w:type="paragraph" w:styleId="ab">
    <w:name w:val="annotation subject"/>
    <w:basedOn w:val="a9"/>
    <w:next w:val="a9"/>
    <w:link w:val="ac"/>
    <w:uiPriority w:val="99"/>
    <w:semiHidden/>
    <w:unhideWhenUsed/>
    <w:rsid w:val="005B670E"/>
    <w:rPr>
      <w:b/>
      <w:bCs/>
    </w:rPr>
  </w:style>
  <w:style w:type="character" w:customStyle="1" w:styleId="ac">
    <w:name w:val="批注主题 字符"/>
    <w:basedOn w:val="aa"/>
    <w:link w:val="ab"/>
    <w:uiPriority w:val="99"/>
    <w:semiHidden/>
    <w:rsid w:val="005B670E"/>
    <w:rPr>
      <w:rFonts w:ascii="Arial" w:hAnsi="Arial"/>
      <w:b/>
      <w:bCs/>
      <w:sz w:val="20"/>
      <w:szCs w:val="20"/>
    </w:rPr>
  </w:style>
  <w:style w:type="character" w:styleId="ad">
    <w:name w:val="Strong"/>
    <w:basedOn w:val="a0"/>
    <w:uiPriority w:val="22"/>
    <w:qFormat/>
    <w:rsid w:val="00C62B09"/>
    <w:rPr>
      <w:b/>
      <w:bCs/>
    </w:rPr>
  </w:style>
  <w:style w:type="character" w:customStyle="1" w:styleId="st">
    <w:name w:val="st"/>
    <w:basedOn w:val="a0"/>
    <w:rsid w:val="00C7609F"/>
  </w:style>
  <w:style w:type="character" w:styleId="ae">
    <w:name w:val="Emphasis"/>
    <w:basedOn w:val="a0"/>
    <w:uiPriority w:val="20"/>
    <w:qFormat/>
    <w:rsid w:val="00C7609F"/>
    <w:rPr>
      <w:i/>
      <w:iCs/>
    </w:rPr>
  </w:style>
  <w:style w:type="character" w:customStyle="1" w:styleId="md">
    <w:name w:val="md"/>
    <w:basedOn w:val="a0"/>
    <w:rsid w:val="00931BC3"/>
  </w:style>
  <w:style w:type="table" w:styleId="-1">
    <w:name w:val="Light List Accent 1"/>
    <w:basedOn w:val="a1"/>
    <w:uiPriority w:val="61"/>
    <w:semiHidden/>
    <w:unhideWhenUsed/>
    <w:rsid w:val="001673A7"/>
    <w:pPr>
      <w:spacing w:after="0" w:line="240" w:lineRule="auto"/>
    </w:pPr>
    <w:tblPr>
      <w:tblStyleRowBandSize w:val="1"/>
      <w:tblStyleColBandSize w:val="1"/>
      <w:tblInd w:w="0" w:type="nil"/>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Lines="0" w:before="0" w:beforeAutospacing="0" w:afterLines="0" w:after="0" w:afterAutospacing="0" w:line="240" w:lineRule="auto"/>
      </w:pPr>
      <w:rPr>
        <w:b/>
        <w:bCs/>
        <w:color w:val="FFFFFF" w:themeColor="background1"/>
      </w:rPr>
      <w:tblPr/>
      <w:tcPr>
        <w:shd w:val="clear" w:color="auto" w:fill="4F81BD" w:themeFill="accent1"/>
      </w:tcPr>
    </w:tblStylePr>
    <w:tblStylePr w:type="lastRow">
      <w:pPr>
        <w:spacing w:beforeLines="0" w:before="0" w:beforeAutospacing="0" w:afterLines="0" w:after="0" w:afterAutospacing="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af">
    <w:name w:val="Normal (Web)"/>
    <w:basedOn w:val="a"/>
    <w:uiPriority w:val="99"/>
    <w:semiHidden/>
    <w:unhideWhenUsed/>
    <w:rsid w:val="00F74288"/>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paragraph" w:styleId="af0">
    <w:name w:val="header"/>
    <w:basedOn w:val="a"/>
    <w:link w:val="af1"/>
    <w:uiPriority w:val="99"/>
    <w:unhideWhenUsed/>
    <w:rsid w:val="001B65C1"/>
    <w:pPr>
      <w:tabs>
        <w:tab w:val="center" w:pos="4536"/>
        <w:tab w:val="right" w:pos="9072"/>
      </w:tabs>
      <w:spacing w:after="0" w:line="240" w:lineRule="auto"/>
    </w:pPr>
  </w:style>
  <w:style w:type="character" w:customStyle="1" w:styleId="af1">
    <w:name w:val="页眉 字符"/>
    <w:basedOn w:val="a0"/>
    <w:link w:val="af0"/>
    <w:uiPriority w:val="99"/>
    <w:rsid w:val="001B65C1"/>
    <w:rPr>
      <w:rFonts w:ascii="Arial" w:hAnsi="Arial"/>
      <w:sz w:val="20"/>
    </w:rPr>
  </w:style>
  <w:style w:type="paragraph" w:styleId="af2">
    <w:name w:val="footer"/>
    <w:basedOn w:val="a"/>
    <w:link w:val="af3"/>
    <w:uiPriority w:val="99"/>
    <w:unhideWhenUsed/>
    <w:rsid w:val="001B65C1"/>
    <w:pPr>
      <w:tabs>
        <w:tab w:val="center" w:pos="4536"/>
        <w:tab w:val="right" w:pos="9072"/>
      </w:tabs>
      <w:spacing w:after="0" w:line="240" w:lineRule="auto"/>
    </w:pPr>
  </w:style>
  <w:style w:type="character" w:customStyle="1" w:styleId="af3">
    <w:name w:val="页脚 字符"/>
    <w:basedOn w:val="a0"/>
    <w:link w:val="af2"/>
    <w:uiPriority w:val="99"/>
    <w:rsid w:val="001B65C1"/>
    <w:rPr>
      <w:rFonts w:ascii="Arial" w:hAnsi="Arial"/>
      <w:sz w:val="20"/>
    </w:rPr>
  </w:style>
  <w:style w:type="paragraph" w:styleId="af4">
    <w:name w:val="footnote text"/>
    <w:basedOn w:val="a"/>
    <w:link w:val="af5"/>
    <w:uiPriority w:val="99"/>
    <w:semiHidden/>
    <w:unhideWhenUsed/>
    <w:rsid w:val="00DB1CF8"/>
    <w:pPr>
      <w:spacing w:after="0" w:line="240" w:lineRule="auto"/>
    </w:pPr>
    <w:rPr>
      <w:szCs w:val="20"/>
    </w:rPr>
  </w:style>
  <w:style w:type="character" w:customStyle="1" w:styleId="af5">
    <w:name w:val="脚注文本 字符"/>
    <w:basedOn w:val="a0"/>
    <w:link w:val="af4"/>
    <w:uiPriority w:val="99"/>
    <w:semiHidden/>
    <w:rsid w:val="00DB1CF8"/>
    <w:rPr>
      <w:rFonts w:ascii="Arial" w:hAnsi="Arial"/>
      <w:sz w:val="20"/>
      <w:szCs w:val="20"/>
    </w:rPr>
  </w:style>
  <w:style w:type="character" w:styleId="af6">
    <w:name w:val="footnote reference"/>
    <w:basedOn w:val="a0"/>
    <w:uiPriority w:val="99"/>
    <w:semiHidden/>
    <w:unhideWhenUsed/>
    <w:rsid w:val="00DB1CF8"/>
    <w:rPr>
      <w:vertAlign w:val="superscript"/>
    </w:rPr>
  </w:style>
  <w:style w:type="character" w:styleId="af7">
    <w:name w:val="Hyperlink"/>
    <w:basedOn w:val="a0"/>
    <w:uiPriority w:val="99"/>
    <w:unhideWhenUsed/>
    <w:rsid w:val="007D4043"/>
    <w:rPr>
      <w:color w:val="0000FF"/>
      <w:u w:val="single"/>
    </w:rPr>
  </w:style>
  <w:style w:type="character" w:styleId="af8">
    <w:name w:val="FollowedHyperlink"/>
    <w:basedOn w:val="a0"/>
    <w:uiPriority w:val="99"/>
    <w:semiHidden/>
    <w:unhideWhenUsed/>
    <w:rsid w:val="007D404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527031">
      <w:bodyDiv w:val="1"/>
      <w:marLeft w:val="0"/>
      <w:marRight w:val="0"/>
      <w:marTop w:val="0"/>
      <w:marBottom w:val="0"/>
      <w:divBdr>
        <w:top w:val="none" w:sz="0" w:space="0" w:color="auto"/>
        <w:left w:val="none" w:sz="0" w:space="0" w:color="auto"/>
        <w:bottom w:val="none" w:sz="0" w:space="0" w:color="auto"/>
        <w:right w:val="none" w:sz="0" w:space="0" w:color="auto"/>
      </w:divBdr>
    </w:div>
    <w:div w:id="324089695">
      <w:bodyDiv w:val="1"/>
      <w:marLeft w:val="0"/>
      <w:marRight w:val="0"/>
      <w:marTop w:val="0"/>
      <w:marBottom w:val="0"/>
      <w:divBdr>
        <w:top w:val="none" w:sz="0" w:space="0" w:color="auto"/>
        <w:left w:val="none" w:sz="0" w:space="0" w:color="auto"/>
        <w:bottom w:val="none" w:sz="0" w:space="0" w:color="auto"/>
        <w:right w:val="none" w:sz="0" w:space="0" w:color="auto"/>
      </w:divBdr>
      <w:divsChild>
        <w:div w:id="588120406">
          <w:marLeft w:val="0"/>
          <w:marRight w:val="0"/>
          <w:marTop w:val="0"/>
          <w:marBottom w:val="0"/>
          <w:divBdr>
            <w:top w:val="none" w:sz="0" w:space="0" w:color="auto"/>
            <w:left w:val="none" w:sz="0" w:space="0" w:color="auto"/>
            <w:bottom w:val="none" w:sz="0" w:space="0" w:color="auto"/>
            <w:right w:val="none" w:sz="0" w:space="0" w:color="auto"/>
          </w:divBdr>
        </w:div>
        <w:div w:id="1005979322">
          <w:marLeft w:val="0"/>
          <w:marRight w:val="0"/>
          <w:marTop w:val="0"/>
          <w:marBottom w:val="0"/>
          <w:divBdr>
            <w:top w:val="none" w:sz="0" w:space="0" w:color="auto"/>
            <w:left w:val="none" w:sz="0" w:space="0" w:color="auto"/>
            <w:bottom w:val="none" w:sz="0" w:space="0" w:color="auto"/>
            <w:right w:val="none" w:sz="0" w:space="0" w:color="auto"/>
          </w:divBdr>
        </w:div>
        <w:div w:id="142700517">
          <w:marLeft w:val="0"/>
          <w:marRight w:val="0"/>
          <w:marTop w:val="0"/>
          <w:marBottom w:val="0"/>
          <w:divBdr>
            <w:top w:val="none" w:sz="0" w:space="0" w:color="auto"/>
            <w:left w:val="none" w:sz="0" w:space="0" w:color="auto"/>
            <w:bottom w:val="none" w:sz="0" w:space="0" w:color="auto"/>
            <w:right w:val="none" w:sz="0" w:space="0" w:color="auto"/>
          </w:divBdr>
        </w:div>
        <w:div w:id="1088310268">
          <w:marLeft w:val="0"/>
          <w:marRight w:val="0"/>
          <w:marTop w:val="0"/>
          <w:marBottom w:val="0"/>
          <w:divBdr>
            <w:top w:val="none" w:sz="0" w:space="0" w:color="auto"/>
            <w:left w:val="none" w:sz="0" w:space="0" w:color="auto"/>
            <w:bottom w:val="none" w:sz="0" w:space="0" w:color="auto"/>
            <w:right w:val="none" w:sz="0" w:space="0" w:color="auto"/>
          </w:divBdr>
        </w:div>
      </w:divsChild>
    </w:div>
    <w:div w:id="357006331">
      <w:bodyDiv w:val="1"/>
      <w:marLeft w:val="0"/>
      <w:marRight w:val="0"/>
      <w:marTop w:val="0"/>
      <w:marBottom w:val="0"/>
      <w:divBdr>
        <w:top w:val="none" w:sz="0" w:space="0" w:color="auto"/>
        <w:left w:val="none" w:sz="0" w:space="0" w:color="auto"/>
        <w:bottom w:val="none" w:sz="0" w:space="0" w:color="auto"/>
        <w:right w:val="none" w:sz="0" w:space="0" w:color="auto"/>
      </w:divBdr>
    </w:div>
    <w:div w:id="583615036">
      <w:bodyDiv w:val="1"/>
      <w:marLeft w:val="0"/>
      <w:marRight w:val="0"/>
      <w:marTop w:val="0"/>
      <w:marBottom w:val="0"/>
      <w:divBdr>
        <w:top w:val="none" w:sz="0" w:space="0" w:color="auto"/>
        <w:left w:val="none" w:sz="0" w:space="0" w:color="auto"/>
        <w:bottom w:val="none" w:sz="0" w:space="0" w:color="auto"/>
        <w:right w:val="none" w:sz="0" w:space="0" w:color="auto"/>
      </w:divBdr>
    </w:div>
    <w:div w:id="602344403">
      <w:bodyDiv w:val="1"/>
      <w:marLeft w:val="0"/>
      <w:marRight w:val="0"/>
      <w:marTop w:val="0"/>
      <w:marBottom w:val="0"/>
      <w:divBdr>
        <w:top w:val="none" w:sz="0" w:space="0" w:color="auto"/>
        <w:left w:val="none" w:sz="0" w:space="0" w:color="auto"/>
        <w:bottom w:val="none" w:sz="0" w:space="0" w:color="auto"/>
        <w:right w:val="none" w:sz="0" w:space="0" w:color="auto"/>
      </w:divBdr>
      <w:divsChild>
        <w:div w:id="1982149889">
          <w:marLeft w:val="0"/>
          <w:marRight w:val="0"/>
          <w:marTop w:val="0"/>
          <w:marBottom w:val="0"/>
          <w:divBdr>
            <w:top w:val="none" w:sz="0" w:space="0" w:color="auto"/>
            <w:left w:val="none" w:sz="0" w:space="0" w:color="auto"/>
            <w:bottom w:val="none" w:sz="0" w:space="0" w:color="auto"/>
            <w:right w:val="none" w:sz="0" w:space="0" w:color="auto"/>
          </w:divBdr>
        </w:div>
        <w:div w:id="1953584056">
          <w:marLeft w:val="0"/>
          <w:marRight w:val="0"/>
          <w:marTop w:val="0"/>
          <w:marBottom w:val="0"/>
          <w:divBdr>
            <w:top w:val="none" w:sz="0" w:space="0" w:color="auto"/>
            <w:left w:val="none" w:sz="0" w:space="0" w:color="auto"/>
            <w:bottom w:val="none" w:sz="0" w:space="0" w:color="auto"/>
            <w:right w:val="none" w:sz="0" w:space="0" w:color="auto"/>
          </w:divBdr>
        </w:div>
        <w:div w:id="1299188804">
          <w:marLeft w:val="0"/>
          <w:marRight w:val="0"/>
          <w:marTop w:val="0"/>
          <w:marBottom w:val="0"/>
          <w:divBdr>
            <w:top w:val="none" w:sz="0" w:space="0" w:color="auto"/>
            <w:left w:val="none" w:sz="0" w:space="0" w:color="auto"/>
            <w:bottom w:val="none" w:sz="0" w:space="0" w:color="auto"/>
            <w:right w:val="none" w:sz="0" w:space="0" w:color="auto"/>
          </w:divBdr>
        </w:div>
      </w:divsChild>
    </w:div>
    <w:div w:id="993870558">
      <w:bodyDiv w:val="1"/>
      <w:marLeft w:val="0"/>
      <w:marRight w:val="0"/>
      <w:marTop w:val="0"/>
      <w:marBottom w:val="0"/>
      <w:divBdr>
        <w:top w:val="none" w:sz="0" w:space="0" w:color="auto"/>
        <w:left w:val="none" w:sz="0" w:space="0" w:color="auto"/>
        <w:bottom w:val="none" w:sz="0" w:space="0" w:color="auto"/>
        <w:right w:val="none" w:sz="0" w:space="0" w:color="auto"/>
      </w:divBdr>
      <w:divsChild>
        <w:div w:id="419447111">
          <w:marLeft w:val="0"/>
          <w:marRight w:val="0"/>
          <w:marTop w:val="0"/>
          <w:marBottom w:val="0"/>
          <w:divBdr>
            <w:top w:val="none" w:sz="0" w:space="0" w:color="auto"/>
            <w:left w:val="none" w:sz="0" w:space="0" w:color="auto"/>
            <w:bottom w:val="none" w:sz="0" w:space="0" w:color="auto"/>
            <w:right w:val="none" w:sz="0" w:space="0" w:color="auto"/>
          </w:divBdr>
        </w:div>
        <w:div w:id="1787969218">
          <w:marLeft w:val="0"/>
          <w:marRight w:val="0"/>
          <w:marTop w:val="0"/>
          <w:marBottom w:val="0"/>
          <w:divBdr>
            <w:top w:val="none" w:sz="0" w:space="0" w:color="auto"/>
            <w:left w:val="none" w:sz="0" w:space="0" w:color="auto"/>
            <w:bottom w:val="none" w:sz="0" w:space="0" w:color="auto"/>
            <w:right w:val="none" w:sz="0" w:space="0" w:color="auto"/>
          </w:divBdr>
        </w:div>
      </w:divsChild>
    </w:div>
    <w:div w:id="1038972286">
      <w:bodyDiv w:val="1"/>
      <w:marLeft w:val="0"/>
      <w:marRight w:val="0"/>
      <w:marTop w:val="0"/>
      <w:marBottom w:val="0"/>
      <w:divBdr>
        <w:top w:val="none" w:sz="0" w:space="0" w:color="auto"/>
        <w:left w:val="none" w:sz="0" w:space="0" w:color="auto"/>
        <w:bottom w:val="none" w:sz="0" w:space="0" w:color="auto"/>
        <w:right w:val="none" w:sz="0" w:space="0" w:color="auto"/>
      </w:divBdr>
    </w:div>
    <w:div w:id="1324772951">
      <w:bodyDiv w:val="1"/>
      <w:marLeft w:val="0"/>
      <w:marRight w:val="0"/>
      <w:marTop w:val="0"/>
      <w:marBottom w:val="0"/>
      <w:divBdr>
        <w:top w:val="none" w:sz="0" w:space="0" w:color="auto"/>
        <w:left w:val="none" w:sz="0" w:space="0" w:color="auto"/>
        <w:bottom w:val="none" w:sz="0" w:space="0" w:color="auto"/>
        <w:right w:val="none" w:sz="0" w:space="0" w:color="auto"/>
      </w:divBdr>
    </w:div>
    <w:div w:id="1605335948">
      <w:bodyDiv w:val="1"/>
      <w:marLeft w:val="0"/>
      <w:marRight w:val="0"/>
      <w:marTop w:val="0"/>
      <w:marBottom w:val="0"/>
      <w:divBdr>
        <w:top w:val="none" w:sz="0" w:space="0" w:color="auto"/>
        <w:left w:val="none" w:sz="0" w:space="0" w:color="auto"/>
        <w:bottom w:val="none" w:sz="0" w:space="0" w:color="auto"/>
        <w:right w:val="none" w:sz="0" w:space="0" w:color="auto"/>
      </w:divBdr>
    </w:div>
    <w:div w:id="2046321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 Type="http://schemas.openxmlformats.org/officeDocument/2006/relationships/customXml" Target="../customXml/item1.xml"/><Relationship Id="rId6" Type="http://schemas.openxmlformats.org/officeDocument/2006/relationships/footnotes" Target="footnotes.xml"/><Relationship Id="rId2" Type="http://schemas.openxmlformats.org/officeDocument/2006/relationships/numbering" Target="numbering.xml"/><Relationship Id="rId4" Type="http://schemas.openxmlformats.org/officeDocument/2006/relationships/settings" Target="settings.xml"/><Relationship Id="rId9" Type="http://schemas.openxmlformats.org/officeDocument/2006/relationships/footer" Target="footer1.xml"/><Relationship Id="rId10" Type="http://schemas.openxmlformats.org/officeDocument/2006/relationships/fontTable" Target="fontTable.xml"/><Relationship Id="rId8" Type="http://schemas.openxmlformats.org/officeDocument/2006/relationships/header" Target="header1.xml"/><Relationship Id="rId11" Type="http://schemas.openxmlformats.org/officeDocument/2006/relationships/theme" Target="theme/theme1.xml"/><Relationship Id="rId7" Type="http://schemas.openxmlformats.org/officeDocument/2006/relationships/endnotes" Target="endnotes.xml"/><Relationship Id="rId5" Type="http://schemas.openxmlformats.org/officeDocument/2006/relationships/webSettings" Target="webSettings.xml"/><Relationship Id="rId3"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intranet.nexansdomain.global/intranet/document/Download.nx?documentId=121732" TargetMode="External"/><Relationship Id="rId2" Type="http://schemas.openxmlformats.org/officeDocument/2006/relationships/hyperlink" Target="http://intranet.nexansdomain.global/intranet/navigation/NavigateEditorialContent.nx?editorialId=115779&amp;navigationId=25079" TargetMode="External"/><Relationship Id="rId4" Type="http://schemas.openxmlformats.org/officeDocument/2006/relationships/hyperlink" Target="http://intranet.nexansdomain.global/intranet/document/Download.nx?documentId=121614" TargetMode="External"/><Relationship Id="rId5" Type="http://schemas.openxmlformats.org/officeDocument/2006/relationships/hyperlink" Target="https://ec.europa.eu/info/law/law-topic/data-protection/data-transfers-outside-eu/model-contracts-transfer-personal-data-third-countries_en" TargetMode="External"/><Relationship Id="rId3" Type="http://schemas.openxmlformats.org/officeDocument/2006/relationships/hyperlink" Target="http://intranet.nexansdomain.global/intranet/document/Download.nx?documentId=121658"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Nexans">
      <a:majorFont>
        <a:latin typeface="FuturaA Bk BT"/>
        <a:ea typeface=""/>
        <a:cs typeface=""/>
      </a:majorFont>
      <a:minorFont>
        <a:latin typeface="FuturaA Bk BT"/>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8782EB-EC45-410A-A7D7-B1CD1E4224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1691</Words>
  <Characters>9644</Characters>
  <Application>Microsoft Office Word</Application>
  <DocSecurity>4</DocSecurity>
  <Lines>80</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Philippe BUGNAZET</dc:creator>
  <cp:keywords/>
  <dc:description/>
  <cp:lastModifiedBy>Kelly PANG</cp:lastModifiedBy>
  <cp:revision>2</cp:revision>
  <cp:lastPrinted>2018-04-06T14:59:00Z</cp:lastPrinted>
  <dcterms:created xsi:type="dcterms:W3CDTF">2019-05-13T08:49:00Z</dcterms:created>
  <dcterms:modified xsi:type="dcterms:W3CDTF">2019-05-13T08:49:00Z</dcterms:modified>
</cp:coreProperties>
</file>