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Imię Nazwisko Grupa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Michał Słowikowski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Scenariusz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10.11.2017r.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Celem ćwiczenia było nauczenie jednowarstwowej sieci neuronowej do rozpoznawania dużych i małych liter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ćwiczenia wykorzystałem perceptron oraz Adaptive Linear Neuron czyli Adaline.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Syntetyczny opis algorytmu uczenia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19650" cy="3733800"/>
            <wp:effectExtent b="0" l="0" r="0" t="0"/>
            <wp:docPr id="2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wykonania ćwiczenia w pierwszej kolejności wykorzystałem sieć neuronową składającą się tylko z jednego perceptronu (wymóg jednej warstwy + chcę sprawdzać tylko czy to litera duża czy mała). Perceptron podczas nauki wykorzystywał perceptron rule.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 drugim przypadku podobnie wykorzystałem sieć składającą się z jednego neuronu Adaline wykorzystujący gradient descent.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Perceptron: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Został zbudowany zgodnie z modelem podanym na wykładzie. Posiada własne wagi oraz bias = 1.</w:t>
        <w:br w:type="textWrapping"/>
        <w:t xml:space="preserve">Metody publiczne:</w:t>
        <w:br w:type="textWrapping"/>
        <w:t xml:space="preserve">-GetResult: Przyjmuje dane wejściowe, zwraca odpowiedź (1 lub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-Learn: Zajmuje się nauką neuronu. Modyfikuje wagi.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Adaline:</w:t>
        <w:br w:type="textWrapping"/>
        <w:t xml:space="preserve">Budową przypomina perceptron, jednak ma jedną zasadniczą różnicę. Błąd jest obliczany przed właściwą funkcją aktywacji (wcześniej jest tylko funkcja liniowa). Dlatego błąd obliczamy na rzeczywistych wynikach.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Metody publiczne: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-GetResult: Przyjmuje dane wejściowe, zwraca faktyczny wynik (przed funkcją aktywacji)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-Test: Zwraca dane, które przeszły przez funkcję aktywacji.(-1 lub 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-Learn: Zajmuje się nauką neuronu. Modyfikuje wagi.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 obydwu przypadkach zastosowano progową funkcję aktywacji (albo litera jest mała, albo duża).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Zestaw danych testowych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Zgodnie z propozycją przedstawioną na zajęciach danymi wejściowymi wykorzystywane podczas nauki były tablice o wymiarach 7x5. Wykorzystałem 20 liter (10 dużych, 10 małych). Poniżej obrazy (biały - 0, zielony - 1)</w:t>
        <w:br w:type="textWrapping"/>
      </w:r>
      <w:r w:rsidDel="00000000" w:rsidR="00000000" w:rsidRPr="00000000">
        <w:rPr/>
        <w:drawing>
          <wp:inline distB="114300" distT="114300" distL="114300" distR="114300">
            <wp:extent cx="1129034" cy="1576388"/>
            <wp:effectExtent b="0" l="0" r="0" t="0"/>
            <wp:docPr id="1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9034" cy="157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92534" cy="1538288"/>
            <wp:effectExtent b="0" l="0" r="0" t="0"/>
            <wp:docPr id="1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534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29034" cy="1576388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9034" cy="157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47763" cy="1602536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1602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01746" cy="1538288"/>
            <wp:effectExtent b="0" l="0" r="0" t="0"/>
            <wp:docPr id="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1746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78366" cy="1509713"/>
            <wp:effectExtent b="0" l="0" r="0" t="0"/>
            <wp:docPr id="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8366" cy="150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67637" cy="1490663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7637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19188" cy="1560702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1560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(przykładowe litery)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Testy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Testy zostały przeprowadzane ze względu na 2 kryteria: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-współczynnik uczenia się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-ilość obszarów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Obszary były wyznaczane poprzez podzielenie tablicy na wycinki. Jeżeli w danym wycinku znajdował się zakolorowany piksel, wtedy wycinek zwraca wartość 1, jeżeli wszystkie piksele były białe, zwracał wartość 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 koniec (po zakończeniu uczenia) neurony były poddawane jeszcze testowi, w którym litery były zaszumiane (niektóre piksele miały złe wartości). Ten zestaw danych nie był wykorzystywany podczas uczenia.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052513" cy="1469546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469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47171" cy="1462088"/>
            <wp:effectExtent b="0" l="0" r="0" t="0"/>
            <wp:docPr id="1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171" cy="146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60840" cy="1490663"/>
            <wp:effectExtent b="0" l="0" r="0" t="0"/>
            <wp:docPr id="1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0840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81088" cy="1503694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1503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90613" cy="1522742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0613" cy="1522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Wyniki: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Dla 1 fragmentu nie udało się ukończyć nauki pozytywnie, dla żadnego współczynnika uczenia.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(Dla wszystkich testów 50% trafionych).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Dla 9 fragmentów (3X i 3Y)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Nie udało się pozytywnie zakończyć nauki w żadnym przypadku.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Współczynnik uczenia 0.001.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Perceptron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epoka - 50%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51 epoka - 70%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52 epoka - 80%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72 epoka - 90%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Wynik testu - 50% (wszystkie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Adaline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epoka - 50%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 epoka - 65%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epoka - 75%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epoka - 80%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Wynik testu - 75%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Dla współczynnika 0.01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Perceptron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epoka - 75%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epoka - 80%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 epoka - 95%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 epoka - 90%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Wynik testu - 50% (wszystkie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Adaline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epoka - 50%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epoka - 60%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epoka - 75%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epoka - 80%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Wynik testu - 75%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Dla współczynnika 0.01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Perceptron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epoka - 75%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epoka - 90%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epoka - 85%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epoka - 90%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Wynik testu - 50% (wszystkie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Adaline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epoka - 90%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 epoka - 95%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Wynik testu - 75%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Dla 35 fragmentów (5X i 7Y)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Współczynnik uczenia 0.001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Perceptron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Chart" id="16" name="image34.png"/>
            <a:graphic>
              <a:graphicData uri="http://schemas.openxmlformats.org/drawingml/2006/picture">
                <pic:pic>
                  <pic:nvPicPr>
                    <pic:cNvPr descr="Chart" id="0" name="image3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Wynik testu - 85%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Chart" id="15" name="image33.png"/>
            <a:graphic>
              <a:graphicData uri="http://schemas.openxmlformats.org/drawingml/2006/picture">
                <pic:pic>
                  <pic:nvPicPr>
                    <pic:cNvPr descr="Chart" id="0" name="image3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Wynik testu 80%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Współczynnik uczenia 0.01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Perceptron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Chart" id="19" name="image38.png"/>
            <a:graphic>
              <a:graphicData uri="http://schemas.openxmlformats.org/drawingml/2006/picture">
                <pic:pic>
                  <pic:nvPicPr>
                    <pic:cNvPr descr="Chart" id="0" name="image3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Wynik Testu - 85%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Chart" id="11" name="image27.png"/>
            <a:graphic>
              <a:graphicData uri="http://schemas.openxmlformats.org/drawingml/2006/picture">
                <pic:pic>
                  <pic:nvPicPr>
                    <pic:cNvPr descr="Chart"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Wynik Testu - 95%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Współczynnik uczenia 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Perceptron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Chart" id="14" name="image30.png"/>
            <a:graphic>
              <a:graphicData uri="http://schemas.openxmlformats.org/drawingml/2006/picture">
                <pic:pic>
                  <pic:nvPicPr>
                    <pic:cNvPr descr="Chart" id="0" name="image3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Wynik Testu 90%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Adeline</w:t>
      </w: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Chart" id="18" name="image37.png"/>
            <a:graphic>
              <a:graphicData uri="http://schemas.openxmlformats.org/drawingml/2006/picture">
                <pic:pic>
                  <pic:nvPicPr>
                    <pic:cNvPr descr="Chart" id="0" name="image3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Wynik Testu 90%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3.png"/><Relationship Id="rId11" Type="http://schemas.openxmlformats.org/officeDocument/2006/relationships/image" Target="media/image24.png"/><Relationship Id="rId22" Type="http://schemas.openxmlformats.org/officeDocument/2006/relationships/image" Target="media/image27.png"/><Relationship Id="rId10" Type="http://schemas.openxmlformats.org/officeDocument/2006/relationships/image" Target="media/image25.png"/><Relationship Id="rId21" Type="http://schemas.openxmlformats.org/officeDocument/2006/relationships/image" Target="media/image38.png"/><Relationship Id="rId13" Type="http://schemas.openxmlformats.org/officeDocument/2006/relationships/image" Target="media/image12.png"/><Relationship Id="rId24" Type="http://schemas.openxmlformats.org/officeDocument/2006/relationships/image" Target="media/image37.png"/><Relationship Id="rId12" Type="http://schemas.openxmlformats.org/officeDocument/2006/relationships/image" Target="media/image11.png"/><Relationship Id="rId23" Type="http://schemas.openxmlformats.org/officeDocument/2006/relationships/image" Target="media/image3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4.png"/><Relationship Id="rId15" Type="http://schemas.openxmlformats.org/officeDocument/2006/relationships/image" Target="media/image26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36.png"/><Relationship Id="rId5" Type="http://schemas.openxmlformats.org/officeDocument/2006/relationships/image" Target="media/image40.png"/><Relationship Id="rId19" Type="http://schemas.openxmlformats.org/officeDocument/2006/relationships/image" Target="media/image34.png"/><Relationship Id="rId6" Type="http://schemas.openxmlformats.org/officeDocument/2006/relationships/image" Target="media/image29.png"/><Relationship Id="rId18" Type="http://schemas.openxmlformats.org/officeDocument/2006/relationships/image" Target="media/image10.png"/><Relationship Id="rId7" Type="http://schemas.openxmlformats.org/officeDocument/2006/relationships/image" Target="media/image28.png"/><Relationship Id="rId8" Type="http://schemas.openxmlformats.org/officeDocument/2006/relationships/image" Target="media/image15.png"/></Relationships>
</file>