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700"/>
        <w:gridCol w:w="20"/>
        <w:gridCol w:w="1980"/>
        <w:gridCol w:w="1000"/>
        <w:gridCol w:w="1200"/>
        <w:gridCol w:w="3500"/>
        <w:gridCol w:w="100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200" w:right="2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Дата формирования информации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27.02.2025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Номер выгрузки информации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№ 0710099_7705710235_2023_001_20250227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Настоящая выгрузка содержит информацию о юридическом лице: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Полное наименование юридического лица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ОБЩЕСТВО С ОГРАНИЧЕННОЙ ОТВЕТСТВЕННОСТЬЮ "МУЗЫКАНТ"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200" w:right="20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включенная в Государственный информационный ресурс бухгалтерской (финансовой) отчетности по состоянию на 27.02.2025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organization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ИНН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7705710235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КПП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770601001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Код по ОКПО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93432413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Форма собственности (по ОКФС)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Организационно-правовая форма (по ОКОПФ)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12300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Вид экономической деятельности по ОКВЭД 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47.59.5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Местонахождение (адрес)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119017, Москва г., ул Большая Ордынка, д. 38, стр.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Единица измерения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  <w:u w:val="single"/>
              </w:rPr>
              <w:t xml:space="preserve">Тыс. руб.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Бухгалтерская отчетность подлежит обязательному аудиту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аудиторской организации/ФИО индивидуального аудитора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Общество с ограниченной ответственностью «Русаудит оценка и консалтинг»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ИНН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7716044594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ОГРН/ОГРНИП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organization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1037700117949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300"/>
        <w:gridCol w:w="600"/>
        <w:gridCol w:w="1000"/>
        <w:gridCol w:w="1800"/>
        <w:gridCol w:w="900"/>
        <w:gridCol w:w="400"/>
        <w:gridCol w:w="1400"/>
        <w:gridCol w:w="200"/>
        <w:gridCol w:w="100"/>
        <w:gridCol w:w="900"/>
        <w:gridCol w:w="600"/>
        <w:gridCol w:w="1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770601001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balanc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balanc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Бухгалтерский баланс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balanc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 31 декабря 2023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20"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2023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2022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2021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Актив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I. Внеоборотные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Нематериальные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16 503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4 445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2 331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Результаты исследований и разработок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Нематериальные поисковые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Материальные поисковые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Основные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30 853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46 758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65 194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6.1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Актив в форме права пользования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24 686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40 277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56 586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Доходные вложения в материальные ценности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1160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8.1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Финансовые вложения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1170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122 000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150 000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Отложенные налоговые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1180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12 223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12 040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11 770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6.1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ОНА по обязательству по аренде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701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515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внеоборотные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1190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4 312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4 528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4 385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Обеспечительный платеж по договорам аренды более 12 месяцев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3 654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3 654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3 654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185 918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67 838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233 787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II. Оборотные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Запасы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1 520 352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1 226 578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1 197 865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Налог на добавленную стоимость по приобретенным ценностям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6 245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2 397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Дебиторская задолженность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775 970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330 514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262 540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Авансы выданные на приобретение запасов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529 990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199 653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22 383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2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400"/>
        <w:gridCol w:w="600"/>
        <w:gridCol w:w="1000"/>
        <w:gridCol w:w="1800"/>
        <w:gridCol w:w="900"/>
        <w:gridCol w:w="1800"/>
        <w:gridCol w:w="200"/>
        <w:gridCol w:w="1000"/>
        <w:gridCol w:w="600"/>
        <w:gridCol w:w="9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20"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2023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2022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2021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8.2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Финансовые вложения (за исключением денежных эквивалентов)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12 000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164 000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33 000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Денежные средства и денежные эквиваленты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106 123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79 298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215 907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оборотные активы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1260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685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654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1200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2 421 375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1 803 441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1 710 148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БАЛАНС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2 607 293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1 871 279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1 943 935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Пассив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III. Капитал и резервы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15.1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Уставный капитал (складочный капитал, уставный фонд, вклады товарищей)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внеоборотных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15.2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 (без переоценки)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1360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15.3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1370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864 687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766 407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641 551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Итого по разделу III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881 299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783 019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658 163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IV. Долгосрочные обязательства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Заемные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200 000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271 444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362 744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Отложенные налоговые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1 911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562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1 259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Оценочные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1430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11 131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29 667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43 432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6.1.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Обязательство по аренде долгосрочное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11 131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29 667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43 432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IV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1400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213 042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301 673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407 435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V. Краткосрочные обязательства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Заемные средства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738 718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404 477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313 182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Кредиторская задолженность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728 044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341 439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521 165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Доходы будущих периодов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1530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18.1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Оценочные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29 131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27 487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30 836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Прочие обязательства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1550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17 059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13 184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13 154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40"/>
            </w:pPr>
            <w:r>
              <w:rPr>
                <w:rFonts w:ascii="Times New Roman" w:hAnsi="Times New Roman" w:eastAsia="Times New Roman" w:cs="Times New Roman"/>
              </w:rPr>
              <w:t xml:space="preserve">6.1.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Обязательство по аренде краткосрочное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20" w:right="20"/>
              <w:jc w:val="center"/>
              <w:spacing w:lineRule="auto" w:line="240" w:after="0" w:before="20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17 059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13 184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_detail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13 154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Итого по разделу V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1500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1 512 952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786 587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878 337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3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380"/>
        <w:gridCol w:w="600"/>
        <w:gridCol w:w="1000"/>
        <w:gridCol w:w="1000"/>
        <w:gridCol w:w="800"/>
        <w:gridCol w:w="900"/>
        <w:gridCol w:w="1800"/>
        <w:gridCol w:w="200"/>
        <w:gridCol w:w="1000"/>
        <w:gridCol w:w="600"/>
        <w:gridCol w:w="9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20"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2023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2022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2021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balance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left"/>
              <w:spacing w:lineRule="auto" w:line="240" w:after="0" w:before="4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balance"/>
              <w:ind w:left="60" w:right="60"/>
              <w:jc w:val="left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БАЛАНС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20" w:right="2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1700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2 607 293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1 871 279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balance"/>
              <w:ind w:left="60" w:right="60"/>
              <w:jc w:val="center"/>
              <w:spacing w:lineRule="auto" w:line="240" w:after="0" w:before="20"/>
            </w:pPr>
            <w:r>
              <w:rPr>
                <w:rFonts w:ascii="Times New Roman" w:hAnsi="Times New Roman" w:eastAsia="Times New Roman" w:cs="Times New Roman"/>
              </w:rPr>
              <w:t xml:space="preserve">1 943 935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balanc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Примечания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  <w:t xml:space="preserve"> Указывается номер соответствующего пояснения.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  <w:t xml:space="preserve"> Здесь и в других формах отчетов вычитаемый или отрицательный показатель показывается в круглых скобках.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4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500"/>
        <w:gridCol w:w="400"/>
        <w:gridCol w:w="1000"/>
        <w:gridCol w:w="2600"/>
        <w:gridCol w:w="500"/>
        <w:gridCol w:w="500"/>
        <w:gridCol w:w="1100"/>
        <w:gridCol w:w="100"/>
        <w:gridCol w:w="740"/>
        <w:gridCol w:w="160"/>
        <w:gridCol w:w="7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770601001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in_res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fin_res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 финансовых результатах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2023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Выручка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5 840 900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4 912 299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Себестоимость продаж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(3 980 872)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(3 227 315)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Валовая прибыль (убыток)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1 860 028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1 684 984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Коммерческие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(1 609 309)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(1 282 160)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Управленческие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Прибыль (убыток) от продаж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250 719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402 824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 от участия в других организациях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Проценты к получению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20 294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22 786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Проценты к уплате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2330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(111 839)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(84 287)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доходы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2340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148 393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56 894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расходы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2350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(166 850)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(165 497)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Прибыль (убыток) до налогообложения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140 717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232 720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(42 420)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(52 850)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т.ч.:</w:t>
              <w:br/>
              <w:t xml:space="preserve">текущий налог на прибыль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(41 255)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(53 817)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отложенный 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(1 165)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Прочее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2460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(17)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(14)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Чистая прибыль (убыток)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Результат от переоценки внеоборотных активов, не включаемый в чистую прибыль (убыток) периода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Результат от прочих операций, не включаемый в чистую прибыль (убыток) периода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 от операций, результат которых не включается в чистую прибыль (убыток) периода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2530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Совокупный финансовый результат периода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5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580"/>
        <w:gridCol w:w="400"/>
        <w:gridCol w:w="1000"/>
        <w:gridCol w:w="1000"/>
        <w:gridCol w:w="1600"/>
        <w:gridCol w:w="1000"/>
        <w:gridCol w:w="1100"/>
        <w:gridCol w:w="840"/>
        <w:gridCol w:w="160"/>
        <w:gridCol w:w="1500"/>
        <w:gridCol w:w="300"/>
        <w:gridCol w:w="600"/>
        <w:gridCol w:w="24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СПРАВОЧНО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Базовая прибыль (убыток) на акцию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2900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Разводненная прибыль (убыток) на акцию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2910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Примечания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</w:rPr>
              <w:t xml:space="preserve"> Указывается номер соответствующего пояснения.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Выручка отражается за минусом налога на добавленную стоимость, акцизов.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</w:rPr>
              <w:t xml:space="preserve"> Отражается расход (доход) по налогу на прибыль.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</w:rP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</w:rPr>
              <w:t xml:space="preserve"> Совокупный финансовый результат периода определяется как сумма строк "Чистая прибыль (убыток)", "Результат от переоценки внеоборотных активов, не включаемый в чистую 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without_table_fin_res_add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Дополнительные строки отчета о финансовых результатах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_add"/>
              <w:ind/>
              <w:jc w:val="left"/>
            </w:pPr>
            <w:r>
              <w:rPr>
                <w:rFonts w:ascii="Times New Roman" w:hAnsi="Times New Roman" w:eastAsia="Times New Roman" w:cs="Times New Roman"/>
                <w:i w:val="true"/>
              </w:rPr>
              <w:t xml:space="preserve">Лист представляется за отчетный период 2023 года при принятии организацией</w:t>
              <w:br/>
              <w:t xml:space="preserve">решения о неприменении изменений, предусмотренных пунктом 2 приказа Минфина от</w:t>
              <w:br/>
              <w:t xml:space="preserve">19.04.2019 г. №61н "О внесении изменений в приказ Министерства финансов Российской</w:t>
              <w:br/>
              <w:t xml:space="preserve">Федерации от 02.07.2010 г. № 66н "О формах бухгалтерской отчетности организаций",</w:t>
              <w:br/>
              <w:t xml:space="preserve">до указанного в данном пункте срока"</w:t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in_res_add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Текущий налог на прибыль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8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т.ч. постоянные налоговые обязательства (активы)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отложенных налоговых обязательств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отложенных налоговых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2450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in_res_add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in_res_add"/>
              <w:ind/>
              <w:jc w:val="left"/>
            </w:pP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6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500"/>
        <w:gridCol w:w="400"/>
        <w:gridCol w:w="1000"/>
        <w:gridCol w:w="2500"/>
        <w:gridCol w:w="600"/>
        <w:gridCol w:w="400"/>
        <w:gridCol w:w="1200"/>
        <w:gridCol w:w="100"/>
        <w:gridCol w:w="700"/>
        <w:gridCol w:w="200"/>
        <w:gridCol w:w="7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tfu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tfu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tfu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tfu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770601001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tfu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tfu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without_table_tfu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 целевом использовании средств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tfu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2023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9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средств на начало отчетного года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Поступило средств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Вступительные взносы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Членские взносы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6215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Целевые взносы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Добровольные имущественные взносы и пожертвования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6230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Прибыль от приносящей доход деятельности организации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6240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6250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Всего поступило средств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6200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Использовано средств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 на целевые мероприятия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социальная и благотворительная помощь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проведение конференций, совещаний, семинаров и т.п.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иные мероприятия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 на содержание аппарата управления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расходы, связанные с оплатой труда (включая начисления)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выплаты, не связанные с оплатой труда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 на служебные командировки и деловые поездки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содержание помещений, зданий, автомобильного транспорта и иного имущества (кроме ремонта)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ремонт основных средств и иного имущества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6325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7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580"/>
        <w:gridCol w:w="400"/>
        <w:gridCol w:w="1000"/>
        <w:gridCol w:w="1000"/>
        <w:gridCol w:w="1500"/>
        <w:gridCol w:w="1000"/>
        <w:gridCol w:w="1200"/>
        <w:gridCol w:w="800"/>
        <w:gridCol w:w="20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Пояснения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9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tfu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6326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Приобретение основных средств, инвентаря и иного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Всего использовано средств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6300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left"/>
              <w:spacing w:lineRule="auto" w:line="240" w:after="0" w:before="60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средств на конец отчетного года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6400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tfu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tfu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Примечания</w:t>
              <w:br/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</w:rPr>
              <w:t xml:space="preserve"> Указывается номер соответствующего пояснения. При этом информация о доходах и расходах, движении денежных средств раскрывается с учетом существенности применительно к составу показателей отчета о финансовых результатах и отчета о движении денежных средств соответственно, согласно форме по ОКУД 0710002 и 0710005.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8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900"/>
        <w:gridCol w:w="200"/>
        <w:gridCol w:w="500"/>
        <w:gridCol w:w="300"/>
        <w:gridCol w:w="1000"/>
        <w:gridCol w:w="1300"/>
        <w:gridCol w:w="800"/>
        <w:gridCol w:w="500"/>
        <w:gridCol w:w="1100"/>
        <w:gridCol w:w="100"/>
        <w:gridCol w:w="100"/>
        <w:gridCol w:w="800"/>
        <w:gridCol w:w="500"/>
        <w:gridCol w:w="200"/>
        <w:gridCol w:w="8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770601001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capital_change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capital_chang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об изменениях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capital_change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2023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1. Движение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Уставной капитал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Итого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2021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3100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641 551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658 163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чистая прибыль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179 856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доходы, относящиеся непосредственно на увеличение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дополнительный выпуск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3216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(0)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(55 000)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(55 000)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убыток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расходы, относящиеся непосредственно на уменьшение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количества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3227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(55 000)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(55 000)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добавочного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резервного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9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200"/>
        <w:gridCol w:w="500"/>
        <w:gridCol w:w="300"/>
        <w:gridCol w:w="1000"/>
        <w:gridCol w:w="1300"/>
        <w:gridCol w:w="1300"/>
        <w:gridCol w:w="1100"/>
        <w:gridCol w:w="200"/>
        <w:gridCol w:w="800"/>
        <w:gridCol w:w="500"/>
        <w:gridCol w:w="10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1. Движение капитала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Уставной капитал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Собственные акции, выкупленные у акционеров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Добавочный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Резервный капитал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Итого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1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2022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3200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766 407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783 019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чистая прибыль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98 280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доходы, относящиеся непосредственно на увеличение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дополнительный выпуск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увеличение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3316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капитала - всего: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 убыток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переоценка имущества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расходы, относящиеся непосредственно на уменьшение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номинальной стоимости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уменьшение количества акций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3325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реорганизация юридического лица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3326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дивиденды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3327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добавочного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3330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Изменение резервного капитала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3340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1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капитала на 31 декабря 2023 г.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16 572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864 687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1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881 299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10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"/>
        <w:gridCol w:w="1980"/>
        <w:gridCol w:w="1000"/>
        <w:gridCol w:w="200"/>
        <w:gridCol w:w="200"/>
        <w:gridCol w:w="620"/>
        <w:gridCol w:w="180"/>
        <w:gridCol w:w="1800"/>
        <w:gridCol w:w="180"/>
        <w:gridCol w:w="820"/>
        <w:gridCol w:w="500"/>
        <w:gridCol w:w="200"/>
        <w:gridCol w:w="640"/>
        <w:gridCol w:w="360"/>
        <w:gridCol w:w="300"/>
        <w:gridCol w:w="12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2. Корректировки в связи с изменением учетной политики и исправлением ошибок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vMerge w:val="restart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2021 г.</w:t>
            </w:r>
          </w:p>
        </w:tc>
        <w:tc>
          <w:tcPr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Изменение капитала за 2022 г.</w:t>
            </w:r>
          </w:p>
        </w:tc>
        <w:tc>
          <w:tcPr>
            <w:gridSpan w:val="2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2022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100" w:right="1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счет чистой прибыли (убытка)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счет иных факторов</w:t>
            </w:r>
          </w:p>
        </w:tc>
        <w:tc>
          <w:tcPr>
            <w:gridSpan w:val="2"/>
            <w:vMerge w:val="continue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Капитал - всего: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3500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нераспределенная прибыль (непокрытый убыток):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3501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другие статьи капитала, по которым осуществлены корректировки</w:t>
            </w:r>
          </w:p>
        </w:tc>
        <w:tc>
          <w:tcPr>
            <w:gridSpan w:val="7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2"/>
              <w:ind w:left="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(по статьям):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до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3402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корректировка в связи с:</w:t>
              <w:br/>
              <w:t xml:space="preserve">       изменением учетной</w:t>
              <w:br/>
              <w:t xml:space="preserve">       политики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3412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исправлением ошибок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3422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после корректировок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3502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2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3. Чистые активы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2023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2022 г.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capital_change_3"/>
              <w:ind w:left="100" w:right="10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 31 декабря 2021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Чистые активы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3600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881 299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783 019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capital_change_3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658 163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11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100"/>
        <w:gridCol w:w="1900"/>
        <w:gridCol w:w="1000"/>
        <w:gridCol w:w="2600"/>
        <w:gridCol w:w="500"/>
        <w:gridCol w:w="500"/>
        <w:gridCol w:w="1100"/>
        <w:gridCol w:w="100"/>
        <w:gridCol w:w="740"/>
        <w:gridCol w:w="160"/>
        <w:gridCol w:w="700"/>
        <w:gridCol w:w="800"/>
        <w:gridCol w:w="300"/>
        <w:gridCol w:w="600"/>
        <w:gridCol w:w="1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КНД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КПП   770601001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Форма по ОКУД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old_without_table_funds_movement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0710005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Bold_without_table_funds_movement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Отчет о движении денежных средств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without_table_funds_movement"/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 2023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4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текущих операций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6 065 641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4 887 706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От продажи продукции, товаров, работ и услуг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5 690 883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4 859 626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арендных платежей, лицензионных платежей, роялти, комиссионных и иных аналогичных платежей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2 549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2 252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перепродажи финансовых вложений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НДС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316 775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55 434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25 828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(6 270 592)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(4 984 551)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поставщикам (подрядчикам) за сырье,</w:t>
              <w:br/>
              <w:t xml:space="preserve">      материалы, работы, услуги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(5 254 825)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(4 114 724)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оплатой труда работников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(779 291)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(599 158)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процентов по долговым обязательствам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(100 092)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(79 885)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налог на прибыль организаций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(36 729)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(59 958)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НДС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(0)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(25 639)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Иные налоги и сборы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(803)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_detail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(769)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4129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(98 852)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(104 418)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текущих операций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4100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(204 951)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(96 845)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инвестиционных операций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4210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47 483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41 545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</w:t>
              <w:br/>
              <w:t xml:space="preserve">      от продажи внеоборотных активов (кроме</w:t>
              <w:br/>
              <w:t xml:space="preserve">      финансовых вложений)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4211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продажи акций других организаций (долей участия)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возврата предоставленных займов, от продажи долговых ценных бумаг (прав требования денежных средств к другим лицам)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30 000</w:t>
            </w:r>
          </w:p>
        </w:tc>
        <w:tc>
          <w:tcPr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19 000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12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1000"/>
        <w:gridCol w:w="2600"/>
        <w:gridCol w:w="1000"/>
        <w:gridCol w:w="1100"/>
        <w:gridCol w:w="840"/>
        <w:gridCol w:w="16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17 483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22 545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4219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(16 364)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(7 681)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в связи с приобретением, созданием,</w:t>
              <w:br/>
              <w:t xml:space="preserve">      модернизацией, реконструкцией и подготовкой</w:t>
              <w:br/>
              <w:t xml:space="preserve">      к использованию внеоборотных активов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(16 364)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(7 681)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приобретением акций других организаций (долей участия)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приобретением долговых ценных бумаг (прав требования денежных средств к другим лицам), предоставление займов другим лицам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процентов по долговым обязательствам, включаемым в стоимость инвестиционного актива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4229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инвестиционных операций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4200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31 119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33 864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Денежные потоки от финансовых операций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Поступления - всего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3 494 574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3 654 764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получение кредитов и займов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3 494 574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3 654 764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денежных вкладов собственников (участников)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выпуска акций, увеличения долей участия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от выпуска облигаций, векселей и других долговых ценных бумаг и др.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4314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поступления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4319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Платежи - всего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(3 295 340)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(3 731 413)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том числе:</w:t>
              <w:br/>
              <w:t xml:space="preserve">      собственникам (участникам) в связи с выкупом</w:t>
              <w:br/>
              <w:t xml:space="preserve">      у них акций (долей участия) организации или их</w:t>
              <w:br/>
              <w:t xml:space="preserve">      выходом из состава участников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4321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4322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(55 000)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(76 593)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4323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(3 240 340)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(3 654 820)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40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прочие платежи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4329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(-)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13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700"/>
        <w:gridCol w:w="2000"/>
        <w:gridCol w:w="1000"/>
        <w:gridCol w:w="2600"/>
        <w:gridCol w:w="1000"/>
        <w:gridCol w:w="1100"/>
        <w:gridCol w:w="840"/>
        <w:gridCol w:w="160"/>
        <w:gridCol w:w="1500"/>
        <w:gridCol w:w="300"/>
        <w:gridCol w:w="700"/>
      </w:tblGrid>
      <w:tr>
        <w:trPr>
          <w:trHeight w:hRule="exact" w:val="8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Наименование показателя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Код строки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2023 г.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За 2022 г.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gridSpan w:val="2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gridSpan w:val="3"/>
            <w:shd w:val="clear" w:color="auto" w:fill="FFFFFF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Italic_table_funds_movement"/>
              <w:ind w:left="60" w:right="6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от финансовых операций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4300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199 234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(76 649)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Сальдо денежных потоков за отчетный период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25 402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(139 630)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денежных средств и денежных эквивалентов на начало отчетного периода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4450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79 298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215 907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Bold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Остаток денежных средств и денежных эквивалентов на конец отчетного периода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4500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106 123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79 298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left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Величина влияния изменений курса иностранной валюты по отношению к рублю</w:t>
            </w:r>
          </w:p>
        </w:tc>
        <w:tc>
          <w:tcPr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4490</w:t>
            </w:r>
          </w:p>
        </w:tc>
        <w:tc>
          <w:tcPr>
            <w:gridSpan w:val="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1 423</w:t>
            </w:r>
          </w:p>
        </w:tc>
        <w:tc>
          <w:tcPr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andart_table_funds_movement"/>
              <w:ind w:left="60" w:right="60"/>
              <w:jc w:val="center"/>
              <w:spacing w:lineRule="auto" w:line="240" w:after="0" w:before="60"/>
            </w:pPr>
            <w:r>
              <w:rPr>
                <w:rFonts w:ascii="Times New Roman" w:hAnsi="Times New Roman" w:eastAsia="Times New Roman" w:cs="Times New Roman"/>
              </w:rPr>
              <w:t xml:space="preserve">3 021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Информация из ресурса БФО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ИНН   7705710235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Страница 14 из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ge_footer"/>
              <w:ind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27.02.2025 11:31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page_footer">
    <w:name w:val="page_footer"/>
    <w:qFormat/>
    <w:pPr>
      <w:ind/>
    </w:pPr>
    <w:rPr>
      <w:rFonts w:ascii="Times New Roman" w:hAnsi="Times New Roman" w:eastAsia="Times New Roman" w:cs="Times New Roman"/>
      <w:color w:val="808080"/>
      <w:sz w:val="20"/>
    </w:rPr>
  </w:style>
  <w:style w:type="paragraph" w:styleId="Standart_table_organization">
    <w:name w:val="Standart_table_organization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organization">
    <w:name w:val="Italic_table_organization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Standart_table_balance">
    <w:name w:val="Standart_table_balanc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balance">
    <w:name w:val="Italic_table_balance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balance">
    <w:name w:val="without_table_balance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balance">
    <w:name w:val="Bold_table_balance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balance">
    <w:name w:val="Bold_without_table_balance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ignature_balance">
    <w:name w:val="signature_balanc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balance_detail">
    <w:name w:val="Standart_table_balance_detail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fin_res">
    <w:name w:val="Standart_table_fin_res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in_res">
    <w:name w:val="Italic_table_fin_res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fin_res">
    <w:name w:val="without_table_fin_res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fin_res">
    <w:name w:val="Bold_table_fin_res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fin_res">
    <w:name w:val="Bold_without_table_fin_res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fin_res_add">
    <w:name w:val="Standart_table_fin_res_add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in_res_add">
    <w:name w:val="Italic_table_fin_res_add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fin_res_add">
    <w:name w:val="without_table_fin_res_add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without_table_fin_res_add">
    <w:name w:val="Bold_without_table_fin_res_add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ignature_fin_res">
    <w:name w:val="signature_fin_res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tfu">
    <w:name w:val="Standart_table_tfu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tfu">
    <w:name w:val="Italic_table_tfu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tfu">
    <w:name w:val="without_table_tfu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tfu">
    <w:name w:val="Bold_table_tfu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tfu">
    <w:name w:val="Bold_without_table_tfu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ignature_tfu">
    <w:name w:val="signature_tfu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capital_change">
    <w:name w:val="Standart_table_capital_change"/>
    <w:qFormat/>
    <w:pPr>
      <w:ind/>
    </w:pPr>
    <w:rPr>
      <w:rFonts w:ascii="Times New Roman" w:hAnsi="Times New Roman" w:eastAsia="Times New Roman" w:cs="Times New Roman"/>
      <w:color w:val="000000"/>
      <w:sz w:val="18"/>
    </w:rPr>
  </w:style>
  <w:style w:type="paragraph" w:styleId="Italic_table_capital_change">
    <w:name w:val="Italic_table_capital_change"/>
    <w:qFormat/>
    <w:pPr>
      <w:ind/>
    </w:pPr>
    <w:rPr>
      <w:rFonts w:ascii="Times New Roman" w:hAnsi="Times New Roman" w:eastAsia="Times New Roman" w:cs="Times New Roman"/>
      <w:color w:val="000000"/>
      <w:sz w:val="18"/>
      <w:i w:val="true"/>
    </w:rPr>
  </w:style>
  <w:style w:type="paragraph" w:styleId="without_table_capital_change">
    <w:name w:val="without_table_capital_change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">
    <w:name w:val="Bold_table_capital_change"/>
    <w:qFormat/>
    <w:pPr>
      <w:ind/>
    </w:pPr>
    <w:rPr>
      <w:rFonts w:ascii="Times New Roman" w:hAnsi="Times New Roman" w:eastAsia="Times New Roman" w:cs="Times New Roman"/>
      <w:color w:val="000000"/>
      <w:sz w:val="18"/>
      <w:b w:val="true"/>
    </w:rPr>
  </w:style>
  <w:style w:type="paragraph" w:styleId="capital_change">
    <w:name w:val="capital_chang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Bold_without_table_capital_change">
    <w:name w:val="Bold_without_table_capital_change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capital_change_1">
    <w:name w:val="Standart_table_capital_change_1"/>
    <w:qFormat/>
    <w:pPr>
      <w:ind/>
    </w:pPr>
    <w:rPr>
      <w:rFonts w:ascii="Times New Roman" w:hAnsi="Times New Roman" w:eastAsia="Times New Roman" w:cs="Times New Roman"/>
      <w:color w:val="000000"/>
      <w:sz w:val="18"/>
    </w:rPr>
  </w:style>
  <w:style w:type="paragraph" w:styleId="Italic_table_capital_change_1">
    <w:name w:val="Italic_table_capital_change_1"/>
    <w:qFormat/>
    <w:pPr>
      <w:ind/>
    </w:pPr>
    <w:rPr>
      <w:rFonts w:ascii="Times New Roman" w:hAnsi="Times New Roman" w:eastAsia="Times New Roman" w:cs="Times New Roman"/>
      <w:color w:val="000000"/>
      <w:sz w:val="18"/>
      <w:i w:val="true"/>
    </w:rPr>
  </w:style>
  <w:style w:type="paragraph" w:styleId="without_table_capital_change_1">
    <w:name w:val="without_table_capital_change_1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_1">
    <w:name w:val="Bold_table_capital_change_1"/>
    <w:qFormat/>
    <w:pPr>
      <w:ind/>
    </w:pPr>
    <w:rPr>
      <w:rFonts w:ascii="Times New Roman" w:hAnsi="Times New Roman" w:eastAsia="Times New Roman" w:cs="Times New Roman"/>
      <w:color w:val="000000"/>
      <w:sz w:val="18"/>
      <w:b w:val="true"/>
    </w:rPr>
  </w:style>
  <w:style w:type="paragraph" w:styleId="Bold_without_table_capital_change_1">
    <w:name w:val="Bold_without_table_capital_change_1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capital_change_2">
    <w:name w:val="Standart_table_capital_change_2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capital_change_2">
    <w:name w:val="Italic_table_capital_change_2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without_table_capital_change_2">
    <w:name w:val="without_table_capital_change_2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capital_change_2">
    <w:name w:val="Bold_table_capital_change_2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Standart_table_capital_change_3">
    <w:name w:val="Standart_table_capital_change_3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capital_change_3">
    <w:name w:val="Italic_table_capital_change_3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Bold_table_capital_change_3">
    <w:name w:val="Bold_table_capital_change_3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signature_cap_change">
    <w:name w:val="signature_cap_change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Standart_table_funds_movement">
    <w:name w:val="Standart_table_funds_movement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Italic_table_funds_movement">
    <w:name w:val="Italic_table_funds_movement"/>
    <w:qFormat/>
    <w:pPr>
      <w:ind/>
    </w:pPr>
    <w:rPr>
      <w:rFonts w:ascii="Times New Roman" w:hAnsi="Times New Roman" w:eastAsia="Times New Roman" w:cs="Times New Roman"/>
      <w:color w:val="000000"/>
      <w:sz w:val="24"/>
      <w:i w:val="true"/>
    </w:rPr>
  </w:style>
  <w:style w:type="paragraph" w:styleId="funds_movement">
    <w:name w:val="funds_movement"/>
    <w:qFormat/>
    <w:pPr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without_table_funds_movement">
    <w:name w:val="without_table_funds_movement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Bold_table_funds_movement">
    <w:name w:val="Bold_table_funds_movement"/>
    <w:qFormat/>
    <w:pPr>
      <w:ind/>
    </w:pPr>
    <w:rPr>
      <w:rFonts w:ascii="Times New Roman" w:hAnsi="Times New Roman" w:eastAsia="Times New Roman" w:cs="Times New Roman"/>
      <w:color w:val="000000"/>
      <w:sz w:val="24"/>
      <w:b w:val="true"/>
    </w:rPr>
  </w:style>
  <w:style w:type="paragraph" w:styleId="Bold_without_table_funds_movement">
    <w:name w:val="Bold_without_table_funds_movement"/>
    <w:qFormat/>
    <w:pPr>
      <w:ind/>
    </w:pPr>
    <w:rPr>
      <w:rFonts w:ascii="Times New Roman" w:hAnsi="Times New Roman" w:eastAsia="Times New Roman" w:cs="Times New Roman"/>
      <w:color w:val="000000"/>
      <w:sz w:val="20"/>
      <w:b w:val="true"/>
    </w:rPr>
  </w:style>
  <w:style w:type="paragraph" w:styleId="Standart_table_funds_movement_detail">
    <w:name w:val="Standart_table_funds_movement_detail"/>
    <w:qFormat/>
    <w:pPr>
      <w:ind/>
    </w:pPr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6.15.0-dd49bfb94918336b8321d5507193f0169ead4e95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