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Note on Research Methodology and Transparency</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analysis is a formal independent investigation into the functional isomorphism of MS 408. It departs from linguistic decryption to approach the manuscript’s morphology as a deterministic hardware schematic. The findings establish a modular architecture where geometric motifs are validated as operational templates for Near-Field Magnetic Induction (NFMI) and Galvanic Conduction systems.</w:t>
      </w:r>
    </w:p>
    <w:p>
      <w:pPr>
        <w:spacing w:before="0" w:after="200" w:line="276"/>
        <w:ind w:right="0" w:left="0" w:firstLine="0"/>
        <w:jc w:val="left"/>
        <w:rPr>
          <w:rFonts w:ascii="Arial" w:hAnsi="Arial" w:cs="Arial" w:eastAsia="Arial"/>
          <w:color w:val="auto"/>
          <w:spacing w:val="0"/>
          <w:position w:val="0"/>
          <w:sz w:val="28"/>
          <w:shd w:fill="auto" w:val="clear"/>
        </w:rPr>
      </w:pPr>
    </w:p>
    <w:p>
      <w:pPr>
        <w:spacing w:before="0" w:after="200" w:line="276"/>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Technical Analysis MS 408: The Biotic Inductive Hypothesis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 REVERSE ENGINEERING PREMISE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study evaluates the botanical iconography of MS 408 as a conceptual design framework, where recurrent morphological motifs are analyzed as potential templates for electromagnetic structures optimized by bio-inspired geometric constraints. The system's coherence is validated through isomorphism: illustrated elements correspond to functional blocks of a Near-Field Magnetic Induction (NFMI) transmission system. To ensure objectivity, this mapping follows strict geometric criteria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such as bilateral symmetry ratios and spirality indices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correlate directly to specific electrical parameters.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Note on Conceptual Architecture: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project utilizes the MS 408 as a systematic geometric library, mapping its sections to a modern transmitter block diagram:</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color w:val="auto"/>
          <w:spacing w:val="0"/>
          <w:position w:val="0"/>
          <w:sz w:val="22"/>
          <w:shd w:fill="auto" w:val="clear"/>
        </w:rPr>
        <w:t xml:space="preserve">Botanical:  </w:t>
      </w:r>
      <w:r>
        <w:rPr>
          <w:rFonts w:ascii="Arial" w:hAnsi="Arial" w:cs="Arial" w:eastAsia="Arial"/>
          <w:i/>
          <w:color w:val="auto"/>
          <w:spacing w:val="0"/>
          <w:position w:val="0"/>
          <w:sz w:val="22"/>
          <w:shd w:fill="auto" w:val="clear"/>
        </w:rPr>
        <w:t xml:space="preserve">Structural Layer (Antennas and Inductive Components).</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color w:val="auto"/>
          <w:spacing w:val="0"/>
          <w:position w:val="0"/>
          <w:sz w:val="22"/>
          <w:shd w:fill="auto" w:val="clear"/>
        </w:rPr>
        <w:t xml:space="preserve">Balneological: </w:t>
      </w:r>
      <w:r>
        <w:rPr>
          <w:rFonts w:ascii="Arial" w:hAnsi="Arial" w:cs="Arial" w:eastAsia="Arial"/>
          <w:i/>
          <w:color w:val="auto"/>
          <w:spacing w:val="0"/>
          <w:position w:val="0"/>
          <w:sz w:val="22"/>
          <w:shd w:fill="auto" w:val="clear"/>
        </w:rPr>
        <w:t xml:space="preserve">Support Logic (Thermal and Ionic Feedback).</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color w:val="auto"/>
          <w:spacing w:val="0"/>
          <w:position w:val="0"/>
          <w:sz w:val="22"/>
          <w:shd w:fill="auto" w:val="clear"/>
        </w:rPr>
        <w:t xml:space="preserve">Pharmaceutical: </w:t>
      </w:r>
      <w:r>
        <w:rPr>
          <w:rFonts w:ascii="Arial" w:hAnsi="Arial" w:cs="Arial" w:eastAsia="Arial"/>
          <w:i/>
          <w:color w:val="auto"/>
          <w:spacing w:val="0"/>
          <w:position w:val="0"/>
          <w:sz w:val="22"/>
          <w:shd w:fill="auto" w:val="clear"/>
        </w:rPr>
        <w:t xml:space="preserve">Material Layer (Doping and Chemical Precursors).</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color w:val="auto"/>
          <w:spacing w:val="0"/>
          <w:position w:val="0"/>
          <w:sz w:val="22"/>
          <w:shd w:fill="auto" w:val="clear"/>
        </w:rPr>
        <w:t xml:space="preserve">Circular/Astronomical: </w:t>
      </w:r>
      <w:r>
        <w:rPr>
          <w:rFonts w:ascii="Arial" w:hAnsi="Arial" w:cs="Arial" w:eastAsia="Arial"/>
          <w:i/>
          <w:color w:val="auto"/>
          <w:spacing w:val="0"/>
          <w:position w:val="0"/>
          <w:sz w:val="22"/>
          <w:shd w:fill="auto" w:val="clear"/>
        </w:rPr>
        <w:t xml:space="preserve">Synchronization Layer (Clock and Phase Control).</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color w:val="auto"/>
          <w:spacing w:val="0"/>
          <w:position w:val="0"/>
          <w:sz w:val="22"/>
          <w:shd w:fill="auto" w:val="clear"/>
        </w:rPr>
        <w:t xml:space="preserve">Subterranean/Bulbs:  </w:t>
      </w:r>
      <w:r>
        <w:rPr>
          <w:rFonts w:ascii="Arial" w:hAnsi="Arial" w:cs="Arial" w:eastAsia="Arial"/>
          <w:i/>
          <w:color w:val="auto"/>
          <w:spacing w:val="0"/>
          <w:position w:val="0"/>
          <w:sz w:val="22"/>
          <w:shd w:fill="auto" w:val="clear"/>
        </w:rPr>
        <w:t xml:space="preserve">Power Layer (Piezoelectric Energy Harvesting).</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Physical Model: Conductivity</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mitigate signal attenuation, the model is consistent with a doped biotic substrate where the resistance (R) of conductive traces is defined by:</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R = </w:t>
      </w:r>
      <w:r>
        <w:rPr>
          <w:rFonts w:ascii="Arial" w:hAnsi="Arial" w:cs="Arial" w:eastAsia="Arial"/>
          <w:i/>
          <w:color w:val="auto"/>
          <w:spacing w:val="0"/>
          <w:position w:val="0"/>
          <w:sz w:val="22"/>
          <w:shd w:fill="auto" w:val="clear"/>
        </w:rPr>
        <w:t xml:space="preserve">ρ </w:t>
      </w:r>
      <w:r>
        <w:rPr>
          <w:rFonts w:ascii="Arial" w:hAnsi="Arial" w:cs="Arial" w:eastAsia="Arial"/>
          <w:i/>
          <w:color w:val="auto"/>
          <w:spacing w:val="0"/>
          <w:position w:val="0"/>
          <w:sz w:val="22"/>
          <w:shd w:fill="auto" w:val="clear"/>
        </w:rPr>
        <w:t xml:space="preserve">· (L / 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ρ: Resistivity.</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L/A: Geometric ratio.</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Note on Functional Validation: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objective of this model is to verify internal consistency. While employing electromagnetic formulas, it is presented as a theoretical validation where visual grammar replaces fixed measurements. Practical implementation is modeled to require scaling via constants (k, </w:t>
      </w:r>
      <w:r>
        <w:rPr>
          <w:rFonts w:ascii="Arial" w:hAnsi="Arial" w:cs="Arial" w:eastAsia="Arial"/>
          <w:color w:val="auto"/>
          <w:spacing w:val="0"/>
          <w:position w:val="0"/>
          <w:sz w:val="22"/>
          <w:shd w:fill="auto" w:val="clear"/>
        </w:rPr>
        <w:t xml:space="preserve">μ</w:t>
      </w:r>
      <w:r>
        <w:rPr>
          <w:rFonts w:ascii="Arial" w:hAnsi="Arial" w:cs="Arial" w:eastAsia="Arial"/>
          <w:color w:val="auto"/>
          <w:spacing w:val="0"/>
          <w:position w:val="0"/>
          <w:sz w:val="22"/>
          <w:shd w:fill="auto" w:val="clear"/>
        </w:rPr>
        <w:t xml:space="preserve">ᵣ, </w:t>
      </w:r>
      <w:r>
        <w:rPr>
          <w:rFonts w:ascii="Arial" w:hAnsi="Arial" w:cs="Arial" w:eastAsia="Arial"/>
          <w:color w:val="auto"/>
          <w:spacing w:val="0"/>
          <w:position w:val="0"/>
          <w:sz w:val="22"/>
          <w:shd w:fill="auto" w:val="clear"/>
        </w:rPr>
        <w:t xml:space="preserve">ε). This substitution enables the use of proportional and relational geometry as a stand-in for absolute physical dimensions, forming the basis of the isomorphic mapping.</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II. SIGNAL FLOW AND STRUCTURAL ANALYSIS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Source Coding and Grounding Grid: </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Dense root structures are analyzed as static memory networks for block data encoding. Their geometry suggests a Grounding Grid optimized for low-impedance contact with the substrate, essential for signal return in low-frequency systems.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Modulation and High-Q Filtering: </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Structures mimicking bandpass filters isolate a stable carrier wave at 12.5 Hz. Specific leaf serrations and bilateral symmetries indicate a High-Q Factor, minimizing harmonic distortion and ensuring signal purity. This filtering efficiency is supported by the theory of selective biomineralization: the deposition of metallic sediments within the biotic structure to create conductive traces with controlled impedance.</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Geometric Inductance (Loading Coils): </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spiral root morphologies are identified as tuned inductors rather than biological anchors. To align with the Schumann Resonance (approx. 12.5 Hz) within a compact physical aperture, the Inductance (L) must satisfy:</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ab/>
        <w:t xml:space="preserve">L = (</w:t>
      </w:r>
      <w:r>
        <w:rPr>
          <w:rFonts w:ascii="Arial" w:hAnsi="Arial" w:cs="Arial" w:eastAsia="Arial"/>
          <w:i/>
          <w:color w:val="auto"/>
          <w:spacing w:val="0"/>
          <w:position w:val="0"/>
          <w:sz w:val="22"/>
          <w:shd w:fill="auto" w:val="clear"/>
        </w:rPr>
        <w:t xml:space="preserve">μ</w:t>
      </w:r>
      <w:r>
        <w:rPr>
          <w:rFonts w:ascii="Segoe UI Symbol" w:hAnsi="Segoe UI Symbol" w:cs="Segoe UI Symbol" w:eastAsia="Segoe UI Symbol"/>
          <w:i/>
          <w:color w:val="auto"/>
          <w:spacing w:val="0"/>
          <w:position w:val="0"/>
          <w:sz w:val="22"/>
          <w:shd w:fill="auto" w:val="clear"/>
        </w:rPr>
        <w:t xml:space="preserve">₀</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μ</w:t>
      </w:r>
      <w:r>
        <w:rPr>
          <w:rFonts w:ascii="Arial" w:hAnsi="Arial" w:cs="Arial" w:eastAsia="Arial"/>
          <w:i/>
          <w:color w:val="auto"/>
          <w:spacing w:val="0"/>
          <w:position w:val="0"/>
          <w:sz w:val="22"/>
          <w:shd w:fill="auto" w:val="clear"/>
        </w:rPr>
        <w:t xml:space="preserve">ᵣ · N² · A) / leff</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resonance at ELF frequencies (12.5 Hz) is achieved through Fractal Inductance. The root morphologies are modeled as Fractal Antennas, where the effective length (l_eff) is the sum of recursive branching iterations. This geometric complexity allows the system to reach the necessary inductance </w:t>
      </w:r>
      <w:r>
        <w:rPr>
          <w:rFonts w:ascii="Arial" w:hAnsi="Arial" w:cs="Arial" w:eastAsia="Arial"/>
          <w:i/>
          <w:color w:val="auto"/>
          <w:spacing w:val="0"/>
          <w:position w:val="0"/>
          <w:sz w:val="22"/>
          <w:shd w:fill="auto" w:val="clear"/>
        </w:rPr>
        <w:t xml:space="preserve">(L = </w:t>
      </w:r>
      <w:r>
        <w:rPr>
          <w:rFonts w:ascii="Arial" w:hAnsi="Arial" w:cs="Arial" w:eastAsia="Arial"/>
          <w:i/>
          <w:color w:val="auto"/>
          <w:spacing w:val="0"/>
          <w:position w:val="0"/>
          <w:sz w:val="22"/>
          <w:shd w:fill="auto" w:val="clear"/>
        </w:rPr>
        <w:t xml:space="preserve">μ </w:t>
      </w:r>
      <w:r>
        <w:rPr>
          <w:rFonts w:ascii="Arial" w:hAnsi="Arial" w:cs="Arial" w:eastAsia="Arial"/>
          <w:i/>
          <w:color w:val="auto"/>
          <w:spacing w:val="0"/>
          <w:position w:val="0"/>
          <w:sz w:val="22"/>
          <w:shd w:fill="auto" w:val="clear"/>
        </w:rPr>
        <w:t xml:space="preserve">· N² · A / leff)</w:t>
      </w:r>
      <w:r>
        <w:rPr>
          <w:rFonts w:ascii="Arial" w:hAnsi="Arial" w:cs="Arial" w:eastAsia="Arial"/>
          <w:color w:val="auto"/>
          <w:spacing w:val="0"/>
          <w:position w:val="0"/>
          <w:sz w:val="22"/>
          <w:shd w:fill="auto" w:val="clear"/>
        </w:rPr>
        <w:t xml:space="preserve"> via space-filling factors (e.g., Hilbert or Peano curves), optimizing Near-Field Magnetic Induction (NFMI) coupling within a compact biotic volume. To bridge the gap between illustration and physical resonance, a scaling constant k = 100 is established, where 1 cm of the schematic equals 1 meter of physical hardware. This factor, combined with the recursive fractal iterations of the root structures, is modeled to enable the effective length (l_eff) to reach kilometer-scale dimensions required for ELF interaction without violating biological volume constraints.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Power Density and High-Q Stabilization:</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system suggests a power mechanism utilizing subterranean mechanical stress. Energy harvesting is modeled through transient stress (dS/dt) converted via the piezoelectric effect (V = g · S · t). To maintain a positive energy balance, the system operates in a Capacitive Accumulation Mode (Duty Cycle), where store charge and discharge in high-power 12.5 Hz pulses intermittently. By discharging through high-conductivity biomineralized traces (</w:t>
      </w:r>
      <w:r>
        <w:rPr>
          <w:rFonts w:ascii="Arial" w:hAnsi="Arial" w:cs="Arial" w:eastAsia="Arial"/>
          <w:color w:val="auto"/>
          <w:spacing w:val="0"/>
          <w:position w:val="0"/>
          <w:sz w:val="22"/>
          <w:shd w:fill="auto" w:val="clear"/>
        </w:rPr>
        <w:t xml:space="preserve">ρ &lt; 10</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² </w:t>
      </w:r>
      <w:r>
        <w:rPr>
          <w:rFonts w:ascii="Arial" w:hAnsi="Arial" w:cs="Arial" w:eastAsia="Arial"/>
          <w:color w:val="auto"/>
          <w:spacing w:val="0"/>
          <w:position w:val="0"/>
          <w:sz w:val="22"/>
          <w:shd w:fill="auto" w:val="clear"/>
        </w:rPr>
        <w:t xml:space="preserve">Ω</w:t>
      </w:r>
      <w:r>
        <w:rPr>
          <w:rFonts w:ascii="Arial" w:hAnsi="Arial" w:cs="Arial" w:eastAsia="Arial"/>
          <w:color w:val="auto"/>
          <w:spacing w:val="0"/>
          <w:position w:val="0"/>
          <w:sz w:val="22"/>
          <w:shd w:fill="auto" w:val="clear"/>
        </w:rPr>
        <w:t xml:space="preserve">·m), the system maintains a High-Q Factor, minimizing losses in the biotic medium.</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Active Grounding: The Earth as a Planetary Radiator</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overcome the ultra-low (Rr) at 12.5 Hz, the dense root structures are modeled as Active Current Injectors. Instead of radiating into the atmosphere, the mineralized roots facilitate Direct Substrate Coupling, utilizing the Earth's crust as a massive hemispherical antenna. This transformation ensures that the 12.5 Hz signal stimulates the Schumann Resonance cavity directly, mitigating the physical size limitations of the individual biotic nodes. (Rr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0)</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III. TRANSMISSION MODEL: INDUCTIVE COUPLING (NFMI)</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resolve the antenna length paradox at 12.5 Hz, the system is modeled as a Near-Field Magnetic Induction (NFMI) network.</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Mechanism and Mode Conversion:</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system operates as a Surface-Wave Aperture Radiator, where the root structure functions as the primary inductive exciter via Near-Field Magnetic Induction (NFMI). To bridge the transition to the far-field, the foliar network acts as a Mode Converter. </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Mode Conversion via Corona Discharge:</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bypass the limitations of slow ionic mass flow, the serrated leaf geometries are modeled as High-Voltage Plasma Apertures. By utilizing the "point effect" of the illustrated leaf tips, the system generates a localized Corona Discharge. This ionizes the surrounding air, creating a transient plasma interface for mode conversion that is significantly more efficient for launching 12.5 Hz waves into the far-field than traditional biological conductors.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Radiation Efficiency Constraints:</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Despite the structural gain from fractal loading and mode conversion, the system faces the intrinsic limits of ultra-subwavelength radiators at 12.5 Hz. In this Extremely Low Frequency (ELF) regime, the radiation resistance (Rr) is estimated to be several orders of magnitude lower than the ohmic losses of the biotic medium. Consequently, the total radiation efficiency (</w:t>
      </w:r>
      <w:r>
        <w:rPr>
          <w:rFonts w:ascii="Arial" w:hAnsi="Arial" w:cs="Arial" w:eastAsia="Arial"/>
          <w:color w:val="auto"/>
          <w:spacing w:val="0"/>
          <w:position w:val="0"/>
          <w:sz w:val="22"/>
          <w:shd w:fill="auto" w:val="clear"/>
        </w:rPr>
        <w:t xml:space="preserve">η = Rr / [Rr + Rloss]) remains the primary technical bottleneck. The model's viability thus depends on the cumulative gain of the phased array and the high-Q stabilization provided by biomineralized traces to maximize the power-to-emission ratio.</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Scalability: </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illustrations are treated as proportional technical schematics. Applying a scaling constant k = 100 (where 1 cm = 1 meter), the density of the illustrated windings is consistent with the physical requirements for magnetic flux concentration at 12.5 Hz.</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resolve the terminal efficiency bottleneck where the radiation resistance tends to zero (Rr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0) , the system is modeled as a Galvanic Conduction Radiator. In this mode, the mineralized root structures act as active current injectors into the Earth's crust. The system's efficiency (</w:t>
      </w:r>
      <w:r>
        <w:rPr>
          <w:rFonts w:ascii="Cambria Math" w:hAnsi="Cambria Math" w:cs="Cambria Math" w:eastAsia="Cambria Math"/>
          <w:color w:val="auto"/>
          <w:spacing w:val="0"/>
          <w:position w:val="0"/>
          <w:sz w:val="22"/>
          <w:shd w:fill="auto" w:val="clear"/>
        </w:rPr>
        <w:t xml:space="preserve">η</w:t>
      </w:r>
      <w:r>
        <w:rPr>
          <w:rFonts w:ascii="Arial" w:hAnsi="Arial" w:cs="Arial" w:eastAsia="Arial"/>
          <w:color w:val="auto"/>
          <w:spacing w:val="0"/>
          <w:position w:val="0"/>
          <w:sz w:val="22"/>
          <w:shd w:fill="auto" w:val="clear"/>
        </w:rPr>
        <w:t xml:space="preserve">) is no longer limited by the free-space radiation resistance of a subwavelength antenna, but is determined by the Transfer Impedance between the biotic node and the conductive substrate, effectively utilizing the planet as the primary radiating surface.</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Collective Phased Array: </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geospatial distribution suggests a synchronized network of antennas. This configuration is modeled to enable the transmission of large wavelengths by manipulating the ionic phase between nodes, bypassing individual size constraints.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IV. THERMAL AND IONIC MANAGEMENT</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Representations of interconnected vessels describe an immersion cooling system using ionic fluids. This dissipates heat generated during high-voltage phases, supporting stable conductivity in the hardware and contributing to system stability under load.</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heat dissipation capacity (dQ/dt) of the ionic infrastructure is governed by:</w:t>
      </w:r>
    </w:p>
    <w:p>
      <w:pPr>
        <w:spacing w:before="0" w:after="200" w:line="276"/>
        <w:ind w:right="0" w:left="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ab/>
        <w:t xml:space="preserve">dQ/dt = dm/dt · Cp · (Tout - Tin)</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Thermal Mass Flow Constraints:</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prevent hardware failure due to the calculated ohmic losses (10² - 10³ </w:t>
      </w:r>
      <w:r>
        <w:rPr>
          <w:rFonts w:ascii="Arial" w:hAnsi="Arial" w:cs="Arial" w:eastAsia="Arial"/>
          <w:color w:val="auto"/>
          <w:spacing w:val="0"/>
          <w:position w:val="0"/>
          <w:sz w:val="22"/>
          <w:shd w:fill="auto" w:val="clear"/>
        </w:rPr>
        <w:t xml:space="preserve">Ω), the mass flow rate (dm/dt) of the ionic coolant must be actively tuned. The infrastructure must maintain a dissipation rate (dQ/dt) that exceeds the Joule heating power (P = I</w:t>
      </w:r>
      <w:r>
        <w:rPr>
          <w:rFonts w:ascii="Arial" w:hAnsi="Arial" w:cs="Arial" w:eastAsia="Arial"/>
          <w:color w:val="auto"/>
          <w:spacing w:val="0"/>
          <w:position w:val="0"/>
          <w:sz w:val="22"/>
          <w:shd w:fill="auto" w:val="clear"/>
        </w:rPr>
        <w:t xml:space="preserve">² · R) to ensure the internal temperature remains below the thermal denaturation threshold of the biomineralized scaffold.</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 dm/dt is the mass flow rate of the ionic fluid and Cp is its specific heat capacity. This ensures the hardware maintains constant conductivity and prevents thermal runaway during high-power transmission phases.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 BIOLOGICAL MONITORING AND SYSTEM FEEDBACK</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"Balneological" or nymph-focused sections are analyzed as a Biotic Control Logic (BCL).</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Sensor Networks: The human figures are classified as Nomographic Feedback Nodes, functioning as visual set-points for monitoring hydraulic-ionic balance and electrolyte gradients within the system's conduits.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System Equilibrium:</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section is modeled to describe feedback loops essential for preventing hardware failure. The positioning of the figures serves as a visual reference for maintaining the stability of the power supply, representing a passive but precise monitoring interface for the hydraulic-ionic balance.</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VI. NAVIGATION AND SYNCHRONIZATION (CIRCULAR SECTION)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terminal floral designs are analyzed as aperture radiators, while the enveloping leaves function as waveguides or collimators, concentrating radiation into a narrow beam toward the zenith (Beamforming). These structures work in tandem with the circular diagrams, which serve as propagation charts and ephemerides.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Phase Analysis:</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Geometric divisions indicate Non-Binary Phase-Shift Keying (N-PSK) constellations. The phase angle (</w:t>
      </w:r>
      <w:r>
        <w:rPr>
          <w:rFonts w:ascii="Arial" w:hAnsi="Arial" w:cs="Arial" w:eastAsia="Arial"/>
          <w:color w:val="auto"/>
          <w:spacing w:val="0"/>
          <w:position w:val="0"/>
          <w:sz w:val="22"/>
          <w:shd w:fill="auto" w:val="clear"/>
        </w:rPr>
        <w:t xml:space="preserve">Φ) is calculated as:</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ab/>
      </w:r>
      <w:r>
        <w:rPr>
          <w:rFonts w:ascii="Arial" w:hAnsi="Arial" w:cs="Arial" w:eastAsia="Arial"/>
          <w:i/>
          <w:color w:val="auto"/>
          <w:spacing w:val="0"/>
          <w:position w:val="0"/>
          <w:sz w:val="22"/>
          <w:shd w:fill="auto" w:val="clear"/>
        </w:rPr>
        <w:t xml:space="preserve">Φ</w:t>
      </w:r>
      <w:r>
        <w:rPr>
          <w:rFonts w:ascii="Segoe UI Symbol" w:hAnsi="Segoe UI Symbol" w:cs="Segoe UI Symbol" w:eastAsia="Segoe UI Symbol"/>
          <w:i/>
          <w:color w:val="auto"/>
          <w:spacing w:val="0"/>
          <w:position w:val="0"/>
          <w:sz w:val="22"/>
          <w:shd w:fill="auto" w:val="clear"/>
        </w:rPr>
        <w:t xml:space="preserve">ₙ</w:t>
      </w:r>
      <w:r>
        <w:rPr>
          <w:rFonts w:ascii="Arial" w:hAnsi="Arial" w:cs="Arial" w:eastAsia="Arial"/>
          <w:i/>
          <w:color w:val="auto"/>
          <w:spacing w:val="0"/>
          <w:position w:val="0"/>
          <w:sz w:val="22"/>
          <w:shd w:fill="auto" w:val="clear"/>
        </w:rPr>
        <w:t xml:space="preserve"> = (2 </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π </w:t>
      </w:r>
      <w:r>
        <w:rPr>
          <w:rFonts w:ascii="Arial" w:hAnsi="Arial" w:cs="Arial" w:eastAsia="Arial"/>
          <w:i/>
          <w:color w:val="auto"/>
          <w:spacing w:val="0"/>
          <w:position w:val="0"/>
          <w:sz w:val="22"/>
          <w:shd w:fill="auto" w:val="clear"/>
        </w:rPr>
        <w:t xml:space="preserve">· n) / M</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irregular phase offsets are modeled to be consistent with requirements for optimizing signal-to-noise ratios during atmospheric fluctuations at Extremely Low Frequencies (ELF).</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System Synchronization:</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phase modulation, the geometric divisions function as a System Clock for a Time-Division Multiple Access (TDMA) protocol. Each node in the forest-array fires at a specific temporal offset, ensuring that the collective signal maintains phase-coherence at the zenith, effectively transforming individual plants into a single, synchronized planetary-scale emitter.</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Launch Windows:</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Calculations for ionospheric refraction and Doppler shift. These maps function to determine the alignment between the terrestrial station and the designated reception coordinates.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Ionospheric Coupling and Global Synchronization:</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circular charts are modeled as Dynamic Propagation Maps. By calculating the D-layer height and ionospheric plasma frequency, the system determines the optimal Phase Velocity (vp) for the 12.5 Hz signal (within Schumann resonance band). This ensures the Earth-Ionosphere waveguide is excited at its fundamental frequency, allowing the forest-array to act as a global planetary radiator.</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calculations are conceptually linked to the synchronization layer, where timing and phase alignment are modeled to interact with atmospheric propagation constraints.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VII. BIO-CHEMICAL DOPING AND MATERIAL INFRASTRUCTURE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pharmaceutical section is analyzed as the 'Material Layer', providing the chemical precursors for a Post-Growth Biomineralization Process. The botanical structures act as Sacrificial Geometric Scaffolds: once the optimal fractal geometry is reached, the biotic tissue is petrified via controlled metallic deposition.</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Resistivity (</w:t>
      </w:r>
      <w:r>
        <w:rPr>
          <w:rFonts w:ascii="Arial" w:hAnsi="Arial" w:cs="Arial" w:eastAsia="Arial"/>
          <w:b/>
          <w:color w:val="auto"/>
          <w:spacing w:val="0"/>
          <w:position w:val="0"/>
          <w:sz w:val="22"/>
          <w:shd w:fill="auto" w:val="clear"/>
        </w:rPr>
        <w:t xml:space="preserve">ρ) Control:</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containers (jars) represent precursors for modulating the Charge Carrier Density (n), essential to shift the biotic matrix into a Semi-Conductive Regime and lower the Ohmic Resistance (R).</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color w:val="auto"/>
          <w:spacing w:val="0"/>
          <w:position w:val="0"/>
          <w:sz w:val="22"/>
          <w:shd w:fill="auto" w:val="clear"/>
        </w:rPr>
        <w:tab/>
        <w:t xml:space="preserve">Metric: </w:t>
      </w:r>
      <w:r>
        <w:rPr>
          <w:rFonts w:ascii="Arial" w:hAnsi="Arial" w:cs="Arial" w:eastAsia="Arial"/>
          <w:i/>
          <w:color w:val="auto"/>
          <w:spacing w:val="0"/>
          <w:position w:val="0"/>
          <w:sz w:val="22"/>
          <w:shd w:fill="auto" w:val="clear"/>
        </w:rPr>
        <w:t xml:space="preserve">R = </w:t>
      </w:r>
      <w:r>
        <w:rPr>
          <w:rFonts w:ascii="Arial" w:hAnsi="Arial" w:cs="Arial" w:eastAsia="Arial"/>
          <w:i/>
          <w:color w:val="auto"/>
          <w:spacing w:val="0"/>
          <w:position w:val="0"/>
          <w:sz w:val="22"/>
          <w:shd w:fill="auto" w:val="clear"/>
        </w:rPr>
        <w:t xml:space="preserve">ρ </w:t>
      </w:r>
      <w:r>
        <w:rPr>
          <w:rFonts w:ascii="Arial" w:hAnsi="Arial" w:cs="Arial" w:eastAsia="Arial"/>
          <w:i/>
          <w:color w:val="auto"/>
          <w:spacing w:val="0"/>
          <w:position w:val="0"/>
          <w:sz w:val="22"/>
          <w:shd w:fill="auto" w:val="clear"/>
        </w:rPr>
        <w:t xml:space="preserve">· (L / A) </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Target: A required dopant concentration (n) between 10¹</w:t>
      </w:r>
      <w:r>
        <w:rPr>
          <w:rFonts w:ascii="Arial" w:hAnsi="Arial" w:cs="Arial" w:eastAsia="Arial"/>
          <w:color w:val="auto"/>
          <w:spacing w:val="0"/>
          <w:position w:val="0"/>
          <w:sz w:val="22"/>
          <w:shd w:fill="auto" w:val="clear"/>
        </w:rPr>
        <w:t xml:space="preserve">⁸</w:t>
      </w:r>
      <w:r>
        <w:rPr>
          <w:rFonts w:ascii="Arial" w:hAnsi="Arial" w:cs="Arial" w:eastAsia="Arial"/>
          <w:color w:val="auto"/>
          <w:spacing w:val="0"/>
          <w:position w:val="0"/>
          <w:sz w:val="22"/>
          <w:shd w:fill="auto" w:val="clear"/>
        </w:rPr>
        <w:t xml:space="preserve"> and 10</w:t>
      </w:r>
      <w:r>
        <w:rPr>
          <w:rFonts w:ascii="Arial" w:hAnsi="Arial" w:cs="Arial" w:eastAsia="Arial"/>
          <w:color w:val="auto"/>
          <w:spacing w:val="0"/>
          <w:position w:val="0"/>
          <w:sz w:val="22"/>
          <w:shd w:fill="auto" w:val="clear"/>
        </w:rPr>
        <w:t xml:space="preserve">²</w:t>
      </w:r>
      <w:r>
        <w:rPr>
          <w:rFonts w:ascii="Arial" w:hAnsi="Arial" w:cs="Arial" w:eastAsia="Arial"/>
          <w:color w:val="auto"/>
          <w:spacing w:val="0"/>
          <w:position w:val="0"/>
          <w:sz w:val="22"/>
          <w:shd w:fill="auto" w:val="clear"/>
        </w:rPr>
        <w:t xml:space="preserve">⁰</w:t>
      </w:r>
      <w:r>
        <w:rPr>
          <w:rFonts w:ascii="Arial" w:hAnsi="Arial" w:cs="Arial" w:eastAsia="Arial"/>
          <w:color w:val="auto"/>
          <w:spacing w:val="0"/>
          <w:position w:val="0"/>
          <w:sz w:val="22"/>
          <w:shd w:fill="auto" w:val="clear"/>
        </w:rPr>
        <w:t xml:space="preserve"> atoms/cm</w:t>
      </w:r>
      <w:r>
        <w:rPr>
          <w:rFonts w:ascii="Arial" w:hAnsi="Arial" w:cs="Arial" w:eastAsia="Arial"/>
          <w:color w:val="auto"/>
          <w:spacing w:val="0"/>
          <w:position w:val="0"/>
          <w:sz w:val="22"/>
          <w:shd w:fill="auto" w:val="clear"/>
        </w:rPr>
        <w:t xml:space="preserve">³ is intended to achieve a resistivity (</w:t>
      </w:r>
      <w:r>
        <w:rPr>
          <w:rFonts w:ascii="Arial" w:hAnsi="Arial" w:cs="Arial" w:eastAsia="Arial"/>
          <w:color w:val="auto"/>
          <w:spacing w:val="0"/>
          <w:position w:val="0"/>
          <w:sz w:val="22"/>
          <w:shd w:fill="auto" w:val="clear"/>
        </w:rPr>
        <w:t xml:space="preserve">ρ) below 10</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² </w:t>
      </w:r>
      <w:r>
        <w:rPr>
          <w:rFonts w:ascii="Arial" w:hAnsi="Arial" w:cs="Arial" w:eastAsia="Arial"/>
          <w:color w:val="auto"/>
          <w:spacing w:val="0"/>
          <w:position w:val="0"/>
          <w:sz w:val="22"/>
          <w:shd w:fill="auto" w:val="clear"/>
        </w:rPr>
        <w:t xml:space="preserve">Ω</w:t>
      </w:r>
      <w:r>
        <w:rPr>
          <w:rFonts w:ascii="Arial" w:hAnsi="Arial" w:cs="Arial" w:eastAsia="Arial"/>
          <w:color w:val="auto"/>
          <w:spacing w:val="0"/>
          <w:position w:val="0"/>
          <w:sz w:val="22"/>
          <w:shd w:fill="auto" w:val="clear"/>
        </w:rPr>
        <w:t xml:space="preserve">·m. This allows the biotic traces to function as low-loss conductors.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Resistivity (</w:t>
      </w:r>
      <w:r>
        <w:rPr>
          <w:rFonts w:ascii="Arial" w:hAnsi="Arial" w:cs="Arial" w:eastAsia="Arial"/>
          <w:b/>
          <w:color w:val="auto"/>
          <w:spacing w:val="0"/>
          <w:position w:val="0"/>
          <w:sz w:val="22"/>
          <w:shd w:fill="auto" w:val="clear"/>
        </w:rPr>
        <w:t xml:space="preserve">ρ) and Solid-State Transition:</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containers (jars) represent precursors for a mineral replacement of the cellulose matrix. By transitioning from a living cell to a Mineralized Ferrite Scaffold, the target dopant concentration (n) between 10¹</w:t>
      </w:r>
      <w:r>
        <w:rPr>
          <w:rFonts w:ascii="Arial" w:hAnsi="Arial" w:cs="Arial" w:eastAsia="Arial"/>
          <w:color w:val="auto"/>
          <w:spacing w:val="0"/>
          <w:position w:val="0"/>
          <w:sz w:val="22"/>
          <w:shd w:fill="auto" w:val="clear"/>
        </w:rPr>
        <w:t xml:space="preserve">⁸</w:t>
      </w:r>
      <w:r>
        <w:rPr>
          <w:rFonts w:ascii="Arial" w:hAnsi="Arial" w:cs="Arial" w:eastAsia="Arial"/>
          <w:color w:val="auto"/>
          <w:spacing w:val="0"/>
          <w:position w:val="0"/>
          <w:sz w:val="22"/>
          <w:shd w:fill="auto" w:val="clear"/>
        </w:rPr>
        <w:t xml:space="preserve"> and 10</w:t>
      </w:r>
      <w:r>
        <w:rPr>
          <w:rFonts w:ascii="Arial" w:hAnsi="Arial" w:cs="Arial" w:eastAsia="Arial"/>
          <w:color w:val="auto"/>
          <w:spacing w:val="0"/>
          <w:position w:val="0"/>
          <w:sz w:val="22"/>
          <w:shd w:fill="auto" w:val="clear"/>
        </w:rPr>
        <w:t xml:space="preserve">²</w:t>
      </w:r>
      <w:r>
        <w:rPr>
          <w:rFonts w:ascii="Arial" w:hAnsi="Arial" w:cs="Arial" w:eastAsia="Arial"/>
          <w:color w:val="auto"/>
          <w:spacing w:val="0"/>
          <w:position w:val="0"/>
          <w:sz w:val="22"/>
          <w:shd w:fill="auto" w:val="clear"/>
        </w:rPr>
        <w:t xml:space="preserve">⁰</w:t>
      </w:r>
      <w:r>
        <w:rPr>
          <w:rFonts w:ascii="Arial" w:hAnsi="Arial" w:cs="Arial" w:eastAsia="Arial"/>
          <w:color w:val="auto"/>
          <w:spacing w:val="0"/>
          <w:position w:val="0"/>
          <w:sz w:val="22"/>
          <w:shd w:fill="auto" w:val="clear"/>
        </w:rPr>
        <w:t xml:space="preserve"> atoms/cm</w:t>
      </w:r>
      <w:r>
        <w:rPr>
          <w:rFonts w:ascii="Arial" w:hAnsi="Arial" w:cs="Arial" w:eastAsia="Arial"/>
          <w:color w:val="auto"/>
          <w:spacing w:val="0"/>
          <w:position w:val="0"/>
          <w:sz w:val="22"/>
          <w:shd w:fill="auto" w:val="clear"/>
        </w:rPr>
        <w:t xml:space="preserve">³ achieves a resistivity </w:t>
      </w:r>
      <w:r>
        <w:rPr>
          <w:rFonts w:ascii="Arial" w:hAnsi="Arial" w:cs="Arial" w:eastAsia="Arial"/>
          <w:color w:val="auto"/>
          <w:spacing w:val="0"/>
          <w:position w:val="0"/>
          <w:sz w:val="22"/>
          <w:shd w:fill="auto" w:val="clear"/>
        </w:rPr>
        <w:t xml:space="preserve">ρ &lt; 10</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² </w:t>
      </w:r>
      <w:r>
        <w:rPr>
          <w:rFonts w:ascii="Arial" w:hAnsi="Arial" w:cs="Arial" w:eastAsia="Arial"/>
          <w:color w:val="auto"/>
          <w:spacing w:val="0"/>
          <w:position w:val="0"/>
          <w:sz w:val="22"/>
          <w:shd w:fill="auto" w:val="clear"/>
        </w:rPr>
        <w:t xml:space="preserve">Ω</w:t>
      </w:r>
      <w:r>
        <w:rPr>
          <w:rFonts w:ascii="Arial" w:hAnsi="Arial" w:cs="Arial" w:eastAsia="Arial"/>
          <w:color w:val="auto"/>
          <w:spacing w:val="0"/>
          <w:position w:val="0"/>
          <w:sz w:val="22"/>
          <w:shd w:fill="auto" w:val="clear"/>
        </w:rPr>
        <w:t xml:space="preserve">·m without biological rejection. This transforms the botanical schematic into a Solid-State Biotic Hardware.</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Magnetic Permeability (</w:t>
      </w:r>
      <w:r>
        <w:rPr>
          <w:rFonts w:ascii="Arial" w:hAnsi="Arial" w:cs="Arial" w:eastAsia="Arial"/>
          <w:b/>
          <w:color w:val="auto"/>
          <w:spacing w:val="0"/>
          <w:position w:val="0"/>
          <w:sz w:val="22"/>
          <w:shd w:fill="auto" w:val="clear"/>
        </w:rPr>
        <w:t xml:space="preserve">μ</w:t>
      </w:r>
      <w:r>
        <w:rPr>
          <w:rFonts w:ascii="Arial" w:hAnsi="Arial" w:cs="Arial" w:eastAsia="Arial"/>
          <w:b/>
          <w:color w:val="auto"/>
          <w:spacing w:val="0"/>
          <w:position w:val="0"/>
          <w:sz w:val="22"/>
          <w:shd w:fill="auto" w:val="clear"/>
        </w:rPr>
        <w:t xml:space="preserve">ᵣ) Enhancement:</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biomineralization process targets the synthesis of high-permeability Manganese-Zinc (MnZn) ferrites within the biotic core.</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Mechanism: By achieving a controlled deposition of ferrimagnetic sediments, the relative permeability (</w:t>
      </w:r>
      <w:r>
        <w:rPr>
          <w:rFonts w:ascii="Arial" w:hAnsi="Arial" w:cs="Arial" w:eastAsia="Arial"/>
          <w:color w:val="auto"/>
          <w:spacing w:val="0"/>
          <w:position w:val="0"/>
          <w:sz w:val="22"/>
          <w:shd w:fill="auto" w:val="clear"/>
        </w:rPr>
        <w:t xml:space="preserve">μ</w:t>
      </w:r>
      <w:r>
        <w:rPr>
          <w:rFonts w:ascii="Arial" w:hAnsi="Arial" w:cs="Arial" w:eastAsia="Arial"/>
          <w:color w:val="auto"/>
          <w:spacing w:val="0"/>
          <w:position w:val="0"/>
          <w:sz w:val="22"/>
          <w:shd w:fill="auto" w:val="clear"/>
        </w:rPr>
        <w:t xml:space="preserve">ᵣ) is elevated to: </w:t>
      </w:r>
      <w:r>
        <w:rPr>
          <w:rFonts w:ascii="Arial" w:hAnsi="Arial" w:cs="Arial" w:eastAsia="Arial"/>
          <w:color w:val="auto"/>
          <w:spacing w:val="0"/>
          <w:position w:val="0"/>
          <w:sz w:val="22"/>
          <w:shd w:fill="auto" w:val="clear"/>
        </w:rPr>
        <w:t xml:space="preserve">μ</w:t>
      </w:r>
      <w:r>
        <w:rPr>
          <w:rFonts w:ascii="Arial" w:hAnsi="Arial" w:cs="Arial" w:eastAsia="Arial"/>
          <w:color w:val="auto"/>
          <w:spacing w:val="0"/>
          <w:position w:val="0"/>
          <w:sz w:val="22"/>
          <w:shd w:fill="auto" w:val="clear"/>
        </w:rPr>
        <w:t xml:space="preserve">ᵣ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1.25 × 10</w:t>
      </w:r>
      <w:r>
        <w:rPr>
          <w:rFonts w:ascii="Arial" w:hAnsi="Arial" w:cs="Arial" w:eastAsia="Arial"/>
          <w:color w:val="auto"/>
          <w:spacing w:val="0"/>
          <w:position w:val="0"/>
          <w:sz w:val="22"/>
          <w:shd w:fill="auto" w:val="clear"/>
        </w:rPr>
        <w:t xml:space="preserve">⁶</w:t>
      </w:r>
      <w:r>
        <w:rPr>
          <w:rFonts w:ascii="Arial" w:hAnsi="Arial" w:cs="Arial" w:eastAsia="Arial"/>
          <w:color w:val="auto"/>
          <w:spacing w:val="0"/>
          <w:position w:val="0"/>
          <w:sz w:val="22"/>
          <w:shd w:fill="auto" w:val="clear"/>
        </w:rPr>
        <w:t xml:space="preserve">.</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Function: This localized magnetic flux concentration, compensating for high dielectric permittivity (</w:t>
      </w:r>
      <w:r>
        <w:rPr>
          <w:rFonts w:ascii="Arial" w:hAnsi="Arial" w:cs="Arial" w:eastAsia="Arial"/>
          <w:color w:val="auto"/>
          <w:spacing w:val="0"/>
          <w:position w:val="0"/>
          <w:sz w:val="22"/>
          <w:shd w:fill="auto" w:val="clear"/>
        </w:rPr>
        <w:t xml:space="preserve">ε</w:t>
      </w:r>
      <w:r>
        <w:rPr>
          <w:rFonts w:ascii="Arial" w:hAnsi="Arial" w:cs="Arial" w:eastAsia="Arial"/>
          <w:color w:val="auto"/>
          <w:spacing w:val="0"/>
          <w:position w:val="0"/>
          <w:sz w:val="22"/>
          <w:shd w:fill="auto" w:val="clear"/>
        </w:rPr>
        <w:t xml:space="preserve">ᵣ), allows the inductive root structures to satisfy the resonance condition at 12.5 Hz within a compact biotic volume.</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Physical Basis for Scaling (k=100):</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scaling constant k=100 is a direct technical requirement derived from Phase Velocity Reduction (v</w:t>
      </w:r>
      <w:r>
        <w:rPr>
          <w:rFonts w:ascii="Segoe UI Symbol" w:hAnsi="Segoe UI Symbol" w:cs="Segoe UI Symbol" w:eastAsia="Segoe UI Symbol"/>
          <w:color w:val="auto"/>
          <w:spacing w:val="0"/>
          <w:position w:val="0"/>
          <w:sz w:val="22"/>
          <w:shd w:fill="auto" w:val="clear"/>
        </w:rPr>
        <w:t xml:space="preserve">ₚ</w:t>
      </w:r>
      <w:r>
        <w:rPr>
          <w:rFonts w:ascii="Arial" w:hAnsi="Arial" w:cs="Arial" w:eastAsia="Arial"/>
          <w:color w:val="auto"/>
          <w:spacing w:val="0"/>
          <w:position w:val="0"/>
          <w:sz w:val="22"/>
          <w:shd w:fill="auto" w:val="clear"/>
        </w:rPr>
        <w:t xml:space="preserve">) within the doped biotic medium. For this constant to be physically valid, the relative permeability (</w:t>
      </w:r>
      <w:r>
        <w:rPr>
          <w:rFonts w:ascii="Arial" w:hAnsi="Arial" w:cs="Arial" w:eastAsia="Arial"/>
          <w:color w:val="auto"/>
          <w:spacing w:val="0"/>
          <w:position w:val="0"/>
          <w:sz w:val="22"/>
          <w:shd w:fill="auto" w:val="clear"/>
        </w:rPr>
        <w:t xml:space="preserve">μ</w:t>
      </w:r>
      <w:r>
        <w:rPr>
          <w:rFonts w:ascii="Arial" w:hAnsi="Arial" w:cs="Arial" w:eastAsia="Arial"/>
          <w:color w:val="auto"/>
          <w:spacing w:val="0"/>
          <w:position w:val="0"/>
          <w:sz w:val="22"/>
          <w:shd w:fill="auto" w:val="clear"/>
        </w:rPr>
        <w:t xml:space="preserve">ᵣ) must compensate for the high dielectric permittivity (</w:t>
      </w:r>
      <w:r>
        <w:rPr>
          <w:rFonts w:ascii="Arial" w:hAnsi="Arial" w:cs="Arial" w:eastAsia="Arial"/>
          <w:color w:val="auto"/>
          <w:spacing w:val="0"/>
          <w:position w:val="0"/>
          <w:sz w:val="22"/>
          <w:shd w:fill="auto" w:val="clear"/>
        </w:rPr>
        <w:t xml:space="preserve">ε</w:t>
      </w:r>
      <w:r>
        <w:rPr>
          <w:rFonts w:ascii="Arial" w:hAnsi="Arial" w:cs="Arial" w:eastAsia="Arial"/>
          <w:color w:val="auto"/>
          <w:spacing w:val="0"/>
          <w:position w:val="0"/>
          <w:sz w:val="22"/>
          <w:shd w:fill="auto" w:val="clear"/>
        </w:rPr>
        <w:t xml:space="preserve">ᵣ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80) of the hydrated substrate. By achieving </w:t>
      </w:r>
      <w:r>
        <w:rPr>
          <w:rFonts w:ascii="Arial" w:hAnsi="Arial" w:cs="Arial" w:eastAsia="Arial"/>
          <w:color w:val="auto"/>
          <w:spacing w:val="0"/>
          <w:position w:val="0"/>
          <w:sz w:val="22"/>
          <w:shd w:fill="auto" w:val="clear"/>
        </w:rPr>
        <w:t xml:space="preserve">μ</w:t>
      </w:r>
      <w:r>
        <w:rPr>
          <w:rFonts w:ascii="Arial" w:hAnsi="Arial" w:cs="Arial" w:eastAsia="Arial"/>
          <w:color w:val="auto"/>
          <w:spacing w:val="0"/>
          <w:position w:val="0"/>
          <w:sz w:val="22"/>
          <w:shd w:fill="auto" w:val="clear"/>
        </w:rPr>
        <w:t xml:space="preserve">ᵣ ≈ 1.25 × 10</w:t>
      </w:r>
      <w:r>
        <w:rPr>
          <w:rFonts w:ascii="Arial" w:hAnsi="Arial" w:cs="Arial" w:eastAsia="Arial"/>
          <w:color w:val="auto"/>
          <w:spacing w:val="0"/>
          <w:position w:val="0"/>
          <w:sz w:val="22"/>
          <w:shd w:fill="auto" w:val="clear"/>
        </w:rPr>
        <w:t xml:space="preserve">⁶</w:t>
      </w:r>
      <w:r>
        <w:rPr>
          <w:rFonts w:ascii="Arial" w:hAnsi="Arial" w:cs="Arial" w:eastAsia="Arial"/>
          <w:color w:val="auto"/>
          <w:spacing w:val="0"/>
          <w:position w:val="0"/>
          <w:sz w:val="22"/>
          <w:shd w:fill="auto" w:val="clear"/>
        </w:rPr>
        <w:t xml:space="preserve"> through high-density MnZn ferrite biomineralization, the effective wavelength (</w:t>
      </w:r>
      <w:r>
        <w:rPr>
          <w:rFonts w:ascii="Arial" w:hAnsi="Arial" w:cs="Arial" w:eastAsia="Arial"/>
          <w:color w:val="auto"/>
          <w:spacing w:val="0"/>
          <w:position w:val="0"/>
          <w:sz w:val="22"/>
          <w:shd w:fill="auto" w:val="clear"/>
        </w:rPr>
        <w:t xml:space="preserve">λ_eff) is contracted by a factor of 100 [v</w:t>
      </w:r>
      <w:r>
        <w:rPr>
          <w:rFonts w:ascii="Cambria Math" w:hAnsi="Cambria Math" w:cs="Cambria Math" w:eastAsia="Cambria Math"/>
          <w:color w:val="auto"/>
          <w:spacing w:val="0"/>
          <w:position w:val="0"/>
          <w:sz w:val="22"/>
          <w:shd w:fill="auto" w:val="clear"/>
        </w:rPr>
        <w:t xml:space="preserve">ₚ</w:t>
      </w:r>
      <w:r>
        <w:rPr>
          <w:rFonts w:ascii="Arial" w:hAnsi="Arial" w:cs="Arial" w:eastAsia="Arial"/>
          <w:color w:val="auto"/>
          <w:spacing w:val="0"/>
          <w:position w:val="0"/>
          <w:sz w:val="22"/>
          <w:shd w:fill="auto" w:val="clear"/>
        </w:rPr>
        <w:t xml:space="preserve"> = c /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μ</w:t>
      </w:r>
      <w:r>
        <w:rPr>
          <w:rFonts w:ascii="Arial" w:hAnsi="Arial" w:cs="Arial" w:eastAsia="Arial"/>
          <w:color w:val="auto"/>
          <w:spacing w:val="0"/>
          <w:position w:val="0"/>
          <w:sz w:val="22"/>
          <w:shd w:fill="auto" w:val="clear"/>
        </w:rPr>
        <w:t xml:space="preserve">ᵣ · </w:t>
      </w:r>
      <w:r>
        <w:rPr>
          <w:rFonts w:ascii="Arial" w:hAnsi="Arial" w:cs="Arial" w:eastAsia="Arial"/>
          <w:color w:val="auto"/>
          <w:spacing w:val="0"/>
          <w:position w:val="0"/>
          <w:sz w:val="22"/>
          <w:shd w:fill="auto" w:val="clear"/>
        </w:rPr>
        <w:t xml:space="preserve">ε</w:t>
      </w:r>
      <w:r>
        <w:rPr>
          <w:rFonts w:ascii="Arial" w:hAnsi="Arial" w:cs="Arial" w:eastAsia="Arial"/>
          <w:color w:val="auto"/>
          <w:spacing w:val="0"/>
          <w:position w:val="0"/>
          <w:sz w:val="22"/>
          <w:shd w:fill="auto" w:val="clear"/>
        </w:rPr>
        <w:t xml:space="preserve">ᵣ)]. This allows a 1-meter physical structure to resonate as a 100-meter vacuum aperture at 12.5 Hz.</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Wavelength Contraction and Fractal Loading:</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the phase velocity reduction (vp) via MnZn ferrite doping contracts the effective wavelength (</w:t>
      </w:r>
      <w:r>
        <w:rPr>
          <w:rFonts w:ascii="Arial" w:hAnsi="Arial" w:cs="Arial" w:eastAsia="Arial"/>
          <w:color w:val="auto"/>
          <w:spacing w:val="0"/>
          <w:position w:val="0"/>
          <w:sz w:val="22"/>
          <w:shd w:fill="auto" w:val="clear"/>
        </w:rPr>
        <w:t xml:space="preserve">λeff) to the scale of kilometers, the final transition to "plant-scale" dimensions is achieved through High-Order Fractal Loading. The recursive branching of the root and foliar schematics acts as a space-filling delay line, increasing the electrical path length by several orders of magnitude within a compact volume. </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Fractal Scaling Limits:</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recursive branching increases the electrical path length, it is recognized that fractal gain in the ELF regime does not scale linearly with geometric complexity. Increased physical length via space-filling curves introduces parasitic coupling and cumulative resistive losses that can damp the effective current distribution. Therefore, the "plant-scale" resonance is proposed as a high-precision equilibrium between fractal density and the preservation of a coherent current phase across the aperture.</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Dielectric Permittivity (</w:t>
      </w:r>
      <w:r>
        <w:rPr>
          <w:rFonts w:ascii="Arial" w:hAnsi="Arial" w:cs="Arial" w:eastAsia="Arial"/>
          <w:b/>
          <w:color w:val="auto"/>
          <w:spacing w:val="0"/>
          <w:position w:val="0"/>
          <w:sz w:val="22"/>
          <w:shd w:fill="auto" w:val="clear"/>
        </w:rPr>
        <w:t xml:space="preserve">ε) Tuning:</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substances described serve to modify the biotic dielectric constant (</w:t>
      </w:r>
      <w:r>
        <w:rPr>
          <w:rFonts w:ascii="Arial" w:hAnsi="Arial" w:cs="Arial" w:eastAsia="Arial"/>
          <w:color w:val="auto"/>
          <w:spacing w:val="0"/>
          <w:position w:val="0"/>
          <w:sz w:val="22"/>
          <w:shd w:fill="auto" w:val="clear"/>
        </w:rPr>
        <w:t xml:space="preserve">ε) of the foliar networks.</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r>
        <w:rPr>
          <w:rFonts w:ascii="Arial" w:hAnsi="Arial" w:cs="Arial" w:eastAsia="Arial"/>
          <w:i/>
          <w:color w:val="auto"/>
          <w:spacing w:val="0"/>
          <w:position w:val="0"/>
          <w:sz w:val="22"/>
          <w:shd w:fill="auto" w:val="clear"/>
        </w:rPr>
        <w:t xml:space="preserve">Metric:C = (</w:t>
      </w:r>
      <w:r>
        <w:rPr>
          <w:rFonts w:ascii="Arial" w:hAnsi="Arial" w:cs="Arial" w:eastAsia="Arial"/>
          <w:i/>
          <w:color w:val="auto"/>
          <w:spacing w:val="0"/>
          <w:position w:val="0"/>
          <w:sz w:val="22"/>
          <w:shd w:fill="auto" w:val="clear"/>
        </w:rPr>
        <w:t xml:space="preserve">ε </w:t>
      </w:r>
      <w:r>
        <w:rPr>
          <w:rFonts w:ascii="Arial" w:hAnsi="Arial" w:cs="Arial" w:eastAsia="Arial"/>
          <w:i/>
          <w:color w:val="auto"/>
          <w:spacing w:val="0"/>
          <w:position w:val="0"/>
          <w:sz w:val="22"/>
          <w:shd w:fill="auto" w:val="clear"/>
        </w:rPr>
        <w:t xml:space="preserve">· A) / d</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Function:This is intended to ensure the capacitive coupling of the leaf structures is precisely tuned to achieve resonance at 12.5 Hz. By modulating the permittivity (</w:t>
      </w:r>
      <w:r>
        <w:rPr>
          <w:rFonts w:ascii="Arial" w:hAnsi="Arial" w:cs="Arial" w:eastAsia="Arial"/>
          <w:color w:val="auto"/>
          <w:spacing w:val="0"/>
          <w:position w:val="0"/>
          <w:sz w:val="22"/>
          <w:shd w:fill="auto" w:val="clear"/>
        </w:rPr>
        <w:t xml:space="preserve">ε) through chemical precursors, the system balances the inductive load of the roots, forming a resonant LC circuit (Inductor-Capacitor).</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Electrolyte Stability:</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vessels encode the chemical composition of the ionic fluids used in the immersion cooling system.</w:t>
      </w:r>
    </w:p>
    <w:p>
      <w:pPr>
        <w:spacing w:before="0" w:after="200" w:line="276"/>
        <w:ind w:right="0" w:left="720" w:firstLine="0"/>
        <w:jc w:val="left"/>
        <w:rPr>
          <w:rFonts w:ascii="Arial" w:hAnsi="Arial" w:cs="Arial" w:eastAsia="Arial"/>
          <w:i/>
          <w:color w:val="auto"/>
          <w:spacing w:val="0"/>
          <w:position w:val="0"/>
          <w:sz w:val="22"/>
          <w:shd w:fill="auto" w:val="clear"/>
        </w:rPr>
      </w:pPr>
      <w:r>
        <w:rPr>
          <w:rFonts w:ascii="Arial" w:hAnsi="Arial" w:cs="Arial" w:eastAsia="Arial"/>
          <w:color w:val="auto"/>
          <w:spacing w:val="0"/>
          <w:position w:val="0"/>
          <w:sz w:val="22"/>
          <w:shd w:fill="auto" w:val="clear"/>
        </w:rPr>
        <w:tab/>
        <w:t xml:space="preserve">Metric: </w:t>
      </w:r>
      <w:r>
        <w:rPr>
          <w:rFonts w:ascii="Arial" w:hAnsi="Arial" w:cs="Arial" w:eastAsia="Arial"/>
          <w:i/>
          <w:color w:val="auto"/>
          <w:spacing w:val="0"/>
          <w:position w:val="0"/>
          <w:sz w:val="22"/>
          <w:shd w:fill="auto" w:val="clear"/>
        </w:rPr>
        <w:t xml:space="preserve">dQ/dt = dm/dt · Cp · (Tout - Tin)</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Function: This is intended to ensure the mass flow rate (dm/dt) maintains a specific heat capacity (Cp) capable of preventing thermal runaway during high-power transmission phases.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Energy Storage: High-Density Electrolytic Capacitors</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pharmaceutical vessels (jars) are modeled as Electrolytic Capacitors. These components store the piezoelectric energy harvested from subterranean stress, enabling a High-Power Duty Cycle. By accumulating charge and discharging it in rapid pulses, the system overcomes the low-efficiency limits, allowing for high-intensity 12.5 Hz bursts.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VIII. CONCLUSION AND FUNCTIONAL VALIDATION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a signal-engineering perspective, the manuscript’s sequence can be interpreted as resembling a simplified transmitter block diagram:</w:t>
      </w: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0"/>
          <w:shd w:fill="auto" w:val="clear"/>
        </w:rPr>
        <w:t xml:space="preserve">Data/Ground </w:t>
      </w:r>
      <w:r>
        <w:rPr>
          <w:rFonts w:ascii="Cambria Math" w:hAnsi="Cambria Math" w:cs="Cambria Math" w:eastAsia="Cambria Math"/>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Modulator </w:t>
      </w:r>
      <w:r>
        <w:rPr>
          <w:rFonts w:ascii="Cambria Math" w:hAnsi="Cambria Math" w:cs="Cambria Math" w:eastAsia="Cambria Math"/>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Filter </w:t>
      </w:r>
      <w:r>
        <w:rPr>
          <w:rFonts w:ascii="Cambria Math" w:hAnsi="Cambria Math" w:cs="Cambria Math" w:eastAsia="Cambria Math"/>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Inductive Coupler </w:t>
      </w:r>
      <w:r>
        <w:rPr>
          <w:rFonts w:ascii="Cambria Math" w:hAnsi="Cambria Math" w:cs="Cambria Math" w:eastAsia="Cambria Math"/>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Targeting </w:t>
      </w:r>
      <w:r>
        <w:rPr>
          <w:rFonts w:ascii="Cambria Math" w:hAnsi="Cambria Math" w:cs="Cambria Math" w:eastAsia="Cambria Math"/>
          <w:b/>
          <w:color w:val="auto"/>
          <w:spacing w:val="0"/>
          <w:position w:val="0"/>
          <w:sz w:val="20"/>
          <w:shd w:fill="auto" w:val="clear"/>
        </w:rPr>
        <w:t xml:space="preserve">→</w:t>
      </w:r>
      <w:r>
        <w:rPr>
          <w:rFonts w:ascii="Arial" w:hAnsi="Arial" w:cs="Arial" w:eastAsia="Arial"/>
          <w:b/>
          <w:color w:val="auto"/>
          <w:spacing w:val="0"/>
          <w:position w:val="0"/>
          <w:sz w:val="20"/>
          <w:shd w:fill="auto" w:val="clear"/>
        </w:rPr>
        <w:t xml:space="preserve"> Material Optimization.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the individual structural correspondences described in this analysis, the Voynich manuscript itself appears to follow a broader modular organization. The manuscript is conventionally divided into botanical, balneological, astronomical, and pharmaceutical sections. When considered sequentially, these sections exhibit a progression from structural forms (botanical illustrations), to fluid and process-oriented diagrams (balneological networks), to circular synchronization charts (astronomical diagrams), and finally to material preparations (pharmaceutical imagery).</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Such an arrangement is compatible with the conceptual architecture of many technical systems, where physical components, energy or signal flow, temporal synchronization, and output stages are represented in successive layers of abstraction.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Within this context, the present hypothesis proposes that the botanical illustrations may encode structural patterns functionally analogous to elements of an electromagnetic transmission architecture. While this interpretation does not assert historical technological implementation, it suggests that the manuscript’s visual grammar provides a systematic geometric library that can be utilized as a geometric abstraction layer to model interacting components in modern bio-electronic research, independent of its historical intent.</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Critical Constraints and Radiation Efficiency:</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the current model achieves internal structural coherence, the transition to functional deployment faces the intrinsic limits of ultra-subwavelength radiators at 12.5 Hz. In this regime, the radiation resistance (Rr) approaches zero, meaning the system's efficiency as a far-field emitter is highly dependent on overcoming substrate-induced losses. Future validation via HFSS/CST simulation is required to quantify the real-world efficiency of the Leaky-Wave mode conversion and to determine if the Fractal Loading gain is sufficient to bypass the high-damping environment of the biotic medium.</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theoretical model invites validation through electromagnetic simulation (HFSS/CST) of the illustrated geometries, in order to verify their efficiency as radiofrequency components within the ELF/VLF spectrum.</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Appendix A: Quantitative Functional Isomorphism Table</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 Electrical &amp; Inductive Metrics (Core System)</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 · Root Spirals (Fractal Inductance):</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L = (</w:t>
      </w:r>
      <w:r>
        <w:rPr>
          <w:rFonts w:ascii="Arial" w:hAnsi="Arial" w:cs="Arial" w:eastAsia="Arial"/>
          <w:i/>
          <w:color w:val="auto"/>
          <w:spacing w:val="0"/>
          <w:position w:val="0"/>
          <w:sz w:val="22"/>
          <w:shd w:fill="auto" w:val="clear"/>
        </w:rPr>
        <w:t xml:space="preserve">μ</w:t>
      </w:r>
      <w:r>
        <w:rPr>
          <w:rFonts w:ascii="Segoe UI Symbol" w:hAnsi="Segoe UI Symbol" w:cs="Segoe UI Symbol" w:eastAsia="Segoe UI Symbol"/>
          <w:i/>
          <w:color w:val="auto"/>
          <w:spacing w:val="0"/>
          <w:position w:val="0"/>
          <w:sz w:val="22"/>
          <w:shd w:fill="auto" w:val="clear"/>
        </w:rPr>
        <w:t xml:space="preserve">₀</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μ</w:t>
      </w:r>
      <w:r>
        <w:rPr>
          <w:rFonts w:ascii="Arial" w:hAnsi="Arial" w:cs="Arial" w:eastAsia="Arial"/>
          <w:i/>
          <w:color w:val="auto"/>
          <w:spacing w:val="0"/>
          <w:position w:val="0"/>
          <w:sz w:val="22"/>
          <w:shd w:fill="auto" w:val="clear"/>
        </w:rPr>
        <w:t xml:space="preserve">ᵣ · N² · A) / l_eff</w:t>
        <w:br/>
      </w:r>
      <w:r>
        <w:rPr>
          <w:rFonts w:ascii="Arial" w:hAnsi="Arial" w:cs="Arial" w:eastAsia="Arial"/>
          <w:color w:val="auto"/>
          <w:spacing w:val="0"/>
          <w:position w:val="0"/>
          <w:sz w:val="22"/>
          <w:shd w:fill="auto" w:val="clear"/>
        </w:rPr>
        <w:t xml:space="preserve">Note: 'k' represents the macroscopic scaling constant (k=100).</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 · Foliar Networks (Capacitive Array):</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ab/>
        <w:tab/>
        <w:t xml:space="preserve">C = (</w:t>
      </w:r>
      <w:r>
        <w:rPr>
          <w:rFonts w:ascii="Arial" w:hAnsi="Arial" w:cs="Arial" w:eastAsia="Arial"/>
          <w:i/>
          <w:color w:val="auto"/>
          <w:spacing w:val="0"/>
          <w:position w:val="0"/>
          <w:sz w:val="22"/>
          <w:shd w:fill="auto" w:val="clear"/>
        </w:rPr>
        <w:t xml:space="preserve">ε </w:t>
      </w:r>
      <w:r>
        <w:rPr>
          <w:rFonts w:ascii="Arial" w:hAnsi="Arial" w:cs="Arial" w:eastAsia="Arial"/>
          <w:i/>
          <w:color w:val="auto"/>
          <w:spacing w:val="0"/>
          <w:position w:val="0"/>
          <w:sz w:val="22"/>
          <w:shd w:fill="auto" w:val="clear"/>
        </w:rPr>
        <w:t xml:space="preserve">· A) / d</w:t>
        <w:br/>
      </w:r>
      <w:r>
        <w:rPr>
          <w:rFonts w:ascii="Arial" w:hAnsi="Arial" w:cs="Arial" w:eastAsia="Arial"/>
          <w:color w:val="auto"/>
          <w:spacing w:val="0"/>
          <w:position w:val="0"/>
          <w:sz w:val="22"/>
          <w:shd w:fill="auto" w:val="clear"/>
        </w:rPr>
        <w:tab/>
        <w:tab/>
        <w:t xml:space="preserve">Note: '</w:t>
      </w:r>
      <w:r>
        <w:rPr>
          <w:rFonts w:ascii="Arial" w:hAnsi="Arial" w:cs="Arial" w:eastAsia="Arial"/>
          <w:color w:val="auto"/>
          <w:spacing w:val="0"/>
          <w:position w:val="0"/>
          <w:sz w:val="22"/>
          <w:shd w:fill="auto" w:val="clear"/>
        </w:rPr>
        <w:t xml:space="preserve">ε' represents the biotic dielectric permittivity tuned via doping.</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 Phase Modulation (N-PSK):</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Metric: Geometric angular offsets (</w:t>
      </w:r>
      <w:r>
        <w:rPr>
          <w:rFonts w:ascii="Arial" w:hAnsi="Arial" w:cs="Arial" w:eastAsia="Arial"/>
          <w:color w:val="auto"/>
          <w:spacing w:val="0"/>
          <w:position w:val="0"/>
          <w:sz w:val="22"/>
          <w:shd w:fill="auto" w:val="clear"/>
        </w:rPr>
        <w:t xml:space="preserve">Φn = 2πn/M).</w:t>
        <w:br/>
        <w:t xml:space="preserve">Note: These offsets are modeled as active set-points for a distributed synchronization clock. To maintain phase-coherence across a heterogeneous biotic substrate, the system requires an active feedback loop (Biotic Control Logic) to compensate for local ionic drift and maintain a stable constructive interference pattern at the zenith.</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Corona Discharge Aperture:</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Metric: E = V / r</w:t>
        <w:br/>
        <w:t xml:space="preserve">Target: E &gt; 3 × 10</w:t>
      </w:r>
      <w:r>
        <w:rPr>
          <w:rFonts w:ascii="Arial" w:hAnsi="Arial" w:cs="Arial" w:eastAsia="Arial"/>
          <w:color w:val="auto"/>
          <w:spacing w:val="0"/>
          <w:position w:val="0"/>
          <w:sz w:val="22"/>
          <w:shd w:fill="auto" w:val="clear"/>
        </w:rPr>
        <w:t xml:space="preserve">⁶</w:t>
      </w:r>
      <w:r>
        <w:rPr>
          <w:rFonts w:ascii="Arial" w:hAnsi="Arial" w:cs="Arial" w:eastAsia="Arial"/>
          <w:color w:val="auto"/>
          <w:spacing w:val="0"/>
          <w:position w:val="0"/>
          <w:sz w:val="22"/>
          <w:shd w:fill="auto" w:val="clear"/>
        </w:rPr>
        <w:t xml:space="preserve"> V/m</w:t>
        <w:br/>
        <w:t xml:space="preserve">Function: Transient plasma interface for mode conversion to mitigate Rᵣ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0 limitations.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II. Thermal &amp; Material Metrics (Infrastructure)</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 · Doping Precursors:</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Target: Concentration (n) for Resistivity (</w:t>
      </w:r>
      <w:r>
        <w:rPr>
          <w:rFonts w:ascii="Arial" w:hAnsi="Arial" w:cs="Arial" w:eastAsia="Arial"/>
          <w:color w:val="auto"/>
          <w:spacing w:val="0"/>
          <w:position w:val="0"/>
          <w:sz w:val="22"/>
          <w:shd w:fill="auto" w:val="clear"/>
        </w:rPr>
        <w:t xml:space="preserve">ρ) &lt; 10</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² </w:t>
      </w:r>
      <w:r>
        <w:rPr>
          <w:rFonts w:ascii="Arial" w:hAnsi="Arial" w:cs="Arial" w:eastAsia="Arial"/>
          <w:color w:val="auto"/>
          <w:spacing w:val="0"/>
          <w:position w:val="0"/>
          <w:sz w:val="22"/>
          <w:shd w:fill="auto" w:val="clear"/>
        </w:rPr>
        <w:t xml:space="preserve">Ω</w:t>
      </w:r>
      <w:r>
        <w:rPr>
          <w:rFonts w:ascii="Arial" w:hAnsi="Arial" w:cs="Arial" w:eastAsia="Arial"/>
          <w:color w:val="auto"/>
          <w:spacing w:val="0"/>
          <w:position w:val="0"/>
          <w:sz w:val="22"/>
          <w:shd w:fill="auto" w:val="clear"/>
        </w:rPr>
        <w:t xml:space="preserve">·m (semi-conductive regime).</w:t>
        <w:br/>
        <w:t xml:space="preserve">Note: Material supply for biomineralization and conductivity control.</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Magnetic Permeability (</w:t>
      </w:r>
      <w:r>
        <w:rPr>
          <w:rFonts w:ascii="Arial" w:hAnsi="Arial" w:cs="Arial" w:eastAsia="Arial"/>
          <w:color w:val="auto"/>
          <w:spacing w:val="0"/>
          <w:position w:val="0"/>
          <w:sz w:val="22"/>
          <w:shd w:fill="auto" w:val="clear"/>
        </w:rPr>
        <w:t xml:space="preserve">μ</w:t>
      </w:r>
      <w:r>
        <w:rPr>
          <w:rFonts w:ascii="Arial" w:hAnsi="Arial" w:cs="Arial" w:eastAsia="Arial"/>
          <w:color w:val="auto"/>
          <w:spacing w:val="0"/>
          <w:position w:val="0"/>
          <w:sz w:val="22"/>
          <w:shd w:fill="auto" w:val="clear"/>
        </w:rPr>
        <w:t xml:space="preserve">ᵣ):</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Target: Synthesis of high-density MnZn ferrites to achieve: </w:t>
      </w:r>
      <w:r>
        <w:rPr>
          <w:rFonts w:ascii="Arial" w:hAnsi="Arial" w:cs="Arial" w:eastAsia="Arial"/>
          <w:color w:val="auto"/>
          <w:spacing w:val="0"/>
          <w:position w:val="0"/>
          <w:sz w:val="22"/>
          <w:shd w:fill="auto" w:val="clear"/>
        </w:rPr>
        <w:t xml:space="preserve">μ</w:t>
      </w:r>
      <w:r>
        <w:rPr>
          <w:rFonts w:ascii="Arial" w:hAnsi="Arial" w:cs="Arial" w:eastAsia="Arial"/>
          <w:color w:val="auto"/>
          <w:spacing w:val="0"/>
          <w:position w:val="0"/>
          <w:sz w:val="22"/>
          <w:shd w:fill="auto" w:val="clear"/>
        </w:rPr>
        <w:t xml:space="preserve">ᵣ </w:t>
      </w:r>
      <w:r>
        <w:rPr>
          <w:rFonts w:ascii="Cambria Math" w:hAnsi="Cambria Math" w:cs="Cambria Math" w:eastAsia="Cambria Math"/>
          <w:color w:val="auto"/>
          <w:spacing w:val="0"/>
          <w:position w:val="0"/>
          <w:sz w:val="22"/>
          <w:shd w:fill="auto" w:val="clear"/>
        </w:rPr>
        <w:t xml:space="preserve">≈ 1.25 </w:t>
      </w:r>
      <w:r>
        <w:rPr>
          <w:rFonts w:ascii="Cambria Math" w:hAnsi="Cambria Math" w:cs="Cambria Math" w:eastAsia="Cambria Math"/>
          <w:color w:val="auto"/>
          <w:spacing w:val="0"/>
          <w:position w:val="0"/>
          <w:sz w:val="22"/>
          <w:shd w:fill="auto" w:val="clear"/>
        </w:rPr>
        <w:t xml:space="preserve">× 10</w:t>
      </w:r>
      <w:r>
        <w:rPr>
          <w:rFonts w:ascii="Cambria Math" w:hAnsi="Cambria Math" w:cs="Cambria Math" w:eastAsia="Cambria Math"/>
          <w:color w:val="auto"/>
          <w:spacing w:val="0"/>
          <w:position w:val="0"/>
          <w:sz w:val="22"/>
          <w:shd w:fill="auto" w:val="clear"/>
        </w:rPr>
        <w:t xml:space="preserve">⁶.</w:t>
      </w:r>
      <w:r>
        <w:rPr>
          <w:rFonts w:ascii="Arial" w:hAnsi="Arial" w:cs="Arial" w:eastAsia="Arial"/>
          <w:color w:val="auto"/>
          <w:spacing w:val="0"/>
          <w:position w:val="0"/>
          <w:sz w:val="22"/>
          <w:shd w:fill="auto" w:val="clear"/>
        </w:rPr>
        <w:br/>
        <w:t xml:space="preserve">Note: Localized flux concentration for NFMI coupling at 12.5 Hz.</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 · Dielectric Modifiers:</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Target: </w:t>
      </w:r>
      <w:r>
        <w:rPr>
          <w:rFonts w:ascii="Arial" w:hAnsi="Arial" w:cs="Arial" w:eastAsia="Arial"/>
          <w:color w:val="auto"/>
          <w:spacing w:val="0"/>
          <w:position w:val="0"/>
          <w:sz w:val="22"/>
          <w:shd w:fill="auto" w:val="clear"/>
        </w:rPr>
        <w:t xml:space="preserve">ε_r adjustment for resonance fine-tuning at 12.5 Hz. </w:t>
        <w:br/>
        <w:tab/>
        <w:t xml:space="preserve">Note: Chemical adjustment of the biotic dielectric constant.</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 · Coolant Solutes:</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Target: Specific heat capacity (Cp) optimization for heat dissipation (dQ/dt). Note: Thermal capacity enhancement of the ionic fluid.</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Energy Storage (Jars):</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Metric: W = ½ · C · V²</w:t>
        <w:br/>
        <w:t xml:space="preserve">Capacity: High-Density Electrolytic Accumulation.</w:t>
        <w:br/>
        <w:t xml:space="preserve">Note: Enables high-power pulses for the 12.5 Hz Duty Cycle.</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III. Control &amp; Feedback Metrics (Support Logic)</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 · Nymph Figures (Biotic Control Logic):</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Metric: Nomographic distribution for monitoring hydraulic/electrolyte gradients.</w:t>
        <w:br/>
        <w:t xml:space="preserve">Note: Positioning represents calibrated set-points for system equilibrium.</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 · Piezoelectric Supply (Energy Harvesting):</w:t>
      </w:r>
    </w:p>
    <w:p>
      <w:pPr>
        <w:spacing w:before="0" w:after="200" w:line="276"/>
        <w:ind w:right="0" w:left="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ab/>
        <w:tab/>
        <w:t xml:space="preserve">V = g · S · t</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Note: Mechanical-to-Electrical conversion from subterranean stress (dS/dt).</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 · Thermal Management (Heat Transfer):</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ab/>
        <w:tab/>
        <w:t xml:space="preserve">dQ/dt = dm/dt · Cp · (Tout - Tin)</w:t>
        <w:br/>
      </w:r>
      <w:r>
        <w:rPr>
          <w:rFonts w:ascii="Arial" w:hAnsi="Arial" w:cs="Arial" w:eastAsia="Arial"/>
          <w:color w:val="auto"/>
          <w:spacing w:val="0"/>
          <w:position w:val="0"/>
          <w:sz w:val="22"/>
          <w:shd w:fill="auto" w:val="clear"/>
        </w:rPr>
        <w:tab/>
        <w:tab/>
        <w:t xml:space="preserve">Note: Ionic cooling capacity based on fluid-to-surface area ratio.</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Ionospheric Mapping (Circular Charts):</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Metric: f</w:t>
      </w:r>
      <w:r>
        <w:rPr>
          <w:rFonts w:ascii="Segoe UI Symbol" w:hAnsi="Segoe UI Symbol" w:cs="Segoe UI Symbol" w:eastAsia="Segoe UI Symbol"/>
          <w:color w:val="auto"/>
          <w:spacing w:val="0"/>
          <w:position w:val="0"/>
          <w:sz w:val="22"/>
          <w:shd w:fill="auto" w:val="clear"/>
        </w:rPr>
        <w:t xml:space="preserve">ₚ</w:t>
      </w:r>
      <w:r>
        <w:rPr>
          <w:rFonts w:ascii="Arial" w:hAnsi="Arial" w:cs="Arial" w:eastAsia="Arial"/>
          <w:color w:val="auto"/>
          <w:spacing w:val="0"/>
          <w:position w:val="0"/>
          <w:sz w:val="22"/>
          <w:shd w:fill="auto" w:val="clear"/>
        </w:rPr>
        <w:t xml:space="preserve"> = 9 · </w:t>
      </w:r>
      <w:r>
        <w:rPr>
          <w:rFonts w:ascii="Cambria Math" w:hAnsi="Cambria Math" w:cs="Cambria Math" w:eastAsia="Cambria Math"/>
          <w:color w:val="auto"/>
          <w:spacing w:val="0"/>
          <w:position w:val="0"/>
          <w:sz w:val="22"/>
          <w:shd w:fill="auto" w:val="clear"/>
        </w:rPr>
        <w:t xml:space="preserve">√Nₑ</w:t>
        <w:br/>
      </w:r>
      <w:r>
        <w:rPr>
          <w:rFonts w:ascii="Arial" w:hAnsi="Arial" w:cs="Arial" w:eastAsia="Arial"/>
          <w:color w:val="auto"/>
          <w:spacing w:val="0"/>
          <w:position w:val="0"/>
          <w:sz w:val="22"/>
          <w:shd w:fill="auto" w:val="clear"/>
        </w:rPr>
        <w:t xml:space="preserve">Variable: D-layer height compensation for v</w:t>
      </w:r>
      <w:r>
        <w:rPr>
          <w:rFonts w:ascii="Cambria Math" w:hAnsi="Cambria Math" w:cs="Cambria Math" w:eastAsia="Cambria Math"/>
          <w:color w:val="auto"/>
          <w:spacing w:val="0"/>
          <w:position w:val="0"/>
          <w:sz w:val="22"/>
          <w:shd w:fill="auto" w:val="clear"/>
        </w:rPr>
        <w:t xml:space="preserve">ₚ</w:t>
      </w:r>
      <w:r>
        <w:rPr>
          <w:rFonts w:ascii="Arial" w:hAnsi="Arial" w:cs="Arial" w:eastAsia="Arial"/>
          <w:color w:val="auto"/>
          <w:spacing w:val="0"/>
          <w:position w:val="0"/>
          <w:sz w:val="22"/>
          <w:shd w:fill="auto" w:val="clear"/>
        </w:rPr>
        <w:t xml:space="preserve"> optimization.</w:t>
        <w:br/>
        <w:t xml:space="preserve">Note: Synchronization of the global forest-array as a single radiator.</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Appendix B: Minimum Executable Case for Computational Simulation (HFSS/CST)</w:t>
      </w:r>
    </w:p>
    <w:p>
      <w:pPr>
        <w:spacing w:before="0" w:after="200" w:line="276"/>
        <w:ind w:right="0" w:left="72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 Simulation Fixed Parameters</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Frequency (f):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12.5 Hz (Schumann resonance band)</w:t>
        <w:br/>
        <w:t xml:space="preserve">Magnetic</w:t>
      </w:r>
      <w:r>
        <w:rPr>
          <w:rFonts w:ascii="Cambria Math" w:hAnsi="Cambria Math" w:cs="Cambria Math" w:eastAsia="Cambria Math"/>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Permeability</w:t>
      </w:r>
      <w:r>
        <w:rPr>
          <w:rFonts w:ascii="Cambria Math" w:hAnsi="Cambria Math" w:cs="Cambria Math" w:eastAsia="Cambria Math"/>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μᵣ</w:t>
      </w:r>
      <w:r>
        <w:rPr>
          <w:rFonts w:ascii="Cambria Math" w:hAnsi="Cambria Math" w:cs="Cambria Math" w:eastAsia="Cambria Math"/>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1</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25</w:t>
      </w:r>
      <w:r>
        <w:rPr>
          <w:rFonts w:ascii="Cambria Math" w:hAnsi="Cambria Math" w:cs="Cambria Math" w:eastAsia="Cambria Math"/>
          <w:color w:val="auto"/>
          <w:spacing w:val="0"/>
          <w:position w:val="0"/>
          <w:sz w:val="22"/>
          <w:shd w:fill="auto" w:val="clear"/>
        </w:rPr>
        <w:t xml:space="preserve"> × </w:t>
      </w:r>
      <w:r>
        <w:rPr>
          <w:rFonts w:ascii="Arial" w:hAnsi="Arial" w:cs="Arial" w:eastAsia="Arial"/>
          <w:color w:val="auto"/>
          <w:spacing w:val="0"/>
          <w:position w:val="0"/>
          <w:sz w:val="22"/>
          <w:shd w:fill="auto" w:val="clear"/>
        </w:rPr>
        <w:t xml:space="preserve">10</w:t>
      </w:r>
      <w:r>
        <w:rPr>
          <w:rFonts w:ascii="Cambria Math" w:hAnsi="Cambria Math" w:cs="Cambria Math" w:eastAsia="Cambria Math"/>
          <w:color w:val="auto"/>
          <w:spacing w:val="0"/>
          <w:position w:val="0"/>
          <w:sz w:val="22"/>
          <w:shd w:fill="auto" w:val="clear"/>
        </w:rPr>
        <w:t xml:space="preserve">⁶</w:t>
      </w:r>
      <w:r>
        <w:rPr>
          <w:rFonts w:ascii="Arial" w:hAnsi="Arial" w:cs="Arial" w:eastAsia="Arial"/>
          <w:color w:val="auto"/>
          <w:spacing w:val="0"/>
          <w:position w:val="0"/>
          <w:sz w:val="22"/>
          <w:shd w:fill="auto" w:val="clear"/>
        </w:rPr>
        <w:br/>
        <w:t xml:space="preserve">Resistivity (ρ): 10</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² Ω·m (semi-conductive regime)</w:t>
        <w:br/>
        <w:t xml:space="preserve">Scaling Constant (k): 100 (1 cm schematic = 1 meter hardware)</w:t>
      </w:r>
    </w:p>
    <w:p>
      <w:pPr>
        <w:spacing w:before="0" w:after="200" w:line="276"/>
        <w:ind w:right="0" w:left="72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II. Geometric Instance (Planar Fractal Spiral)</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Turns (N): 50</w:t>
        <w:br/>
        <w:t xml:space="preserve">Conductor Section (A): 1 cm²</w:t>
        <w:br/>
        <w:t xml:space="preserve">Physical Length (</w:t>
      </w:r>
      <w:r>
        <w:rPr>
          <w:rFonts w:ascii="Cambria Math" w:hAnsi="Cambria Math" w:cs="Cambria Math" w:eastAsia="Cambria Math"/>
          <w:color w:val="auto"/>
          <w:spacing w:val="0"/>
          <w:position w:val="0"/>
          <w:sz w:val="22"/>
          <w:shd w:fill="auto" w:val="clear"/>
        </w:rPr>
        <w:t xml:space="preserve">ℓ</w:t>
      </w:r>
      <w:r>
        <w:rPr>
          <w:rFonts w:ascii="Arial" w:hAnsi="Arial" w:cs="Arial" w:eastAsia="Arial"/>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100 m (l_eff via fractal filling)</w:t>
      </w:r>
    </w:p>
    <w:p>
      <w:pPr>
        <w:spacing w:before="0" w:after="200" w:line="276"/>
        <w:ind w:right="0" w:left="72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III. Derived Electrical Values</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Inductance (L): L = (</w:t>
      </w:r>
      <w:r>
        <w:rPr>
          <w:rFonts w:ascii="Arial" w:hAnsi="Arial" w:cs="Arial" w:eastAsia="Arial"/>
          <w:color w:val="auto"/>
          <w:spacing w:val="0"/>
          <w:position w:val="0"/>
          <w:sz w:val="22"/>
          <w:shd w:fill="auto" w:val="clear"/>
        </w:rPr>
        <w:t xml:space="preserve">μ</w:t>
      </w:r>
      <w:r>
        <w:rPr>
          <w:rFonts w:ascii="Cambria Math" w:hAnsi="Cambria Math" w:cs="Cambria Math" w:eastAsia="Cambria Math"/>
          <w:color w:val="auto"/>
          <w:spacing w:val="0"/>
          <w:position w:val="0"/>
          <w:sz w:val="22"/>
          <w:shd w:fill="auto" w:val="clear"/>
        </w:rPr>
        <w:t xml:space="preserve">₀</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μ</w:t>
      </w:r>
      <w:r>
        <w:rPr>
          <w:rFonts w:ascii="Arial" w:hAnsi="Arial" w:cs="Arial" w:eastAsia="Arial"/>
          <w:color w:val="auto"/>
          <w:spacing w:val="0"/>
          <w:position w:val="0"/>
          <w:sz w:val="22"/>
          <w:shd w:fill="auto" w:val="clear"/>
        </w:rPr>
        <w:t xml:space="preserve">ᵣ · N² · A) / l_eff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Result: 0.3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1.0 H.</w:t>
        <w:br/>
        <w:t xml:space="preserve">Capacitance (C): C = (εᵣ · ε</w:t>
      </w:r>
      <w:r>
        <w:rPr>
          <w:rFonts w:ascii="Cambria Math" w:hAnsi="Cambria Math" w:cs="Cambria Math" w:eastAsia="Cambria Math"/>
          <w:color w:val="auto"/>
          <w:spacing w:val="0"/>
          <w:position w:val="0"/>
          <w:sz w:val="22"/>
          <w:shd w:fill="auto" w:val="clear"/>
        </w:rPr>
        <w:t xml:space="preserve">₀</w:t>
      </w:r>
      <w:r>
        <w:rPr>
          <w:rFonts w:ascii="Arial" w:hAnsi="Arial" w:cs="Arial" w:eastAsia="Arial"/>
          <w:color w:val="auto"/>
          <w:spacing w:val="0"/>
          <w:position w:val="0"/>
          <w:sz w:val="22"/>
          <w:shd w:fill="auto" w:val="clear"/>
        </w:rPr>
        <w:t xml:space="preserve"> · A) / d  →  Result: 1.5 – 1.7 × 10⁻⁴ F (approx. 162 μF).</w:t>
        <w:br/>
        <w:t xml:space="preserve">Resonance Check: f = 1 / (2π</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(LC))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Result: 12.50 Hz (exact resonance match).</w:t>
        <w:br/>
        <w:t xml:space="preserve">Ohmic Losses (R): R = ρ · (</w:t>
      </w:r>
      <w:r>
        <w:rPr>
          <w:rFonts w:ascii="Cambria Math" w:hAnsi="Cambria Math" w:cs="Cambria Math" w:eastAsia="Cambria Math"/>
          <w:color w:val="auto"/>
          <w:spacing w:val="0"/>
          <w:position w:val="0"/>
          <w:sz w:val="22"/>
          <w:shd w:fill="auto" w:val="clear"/>
        </w:rPr>
        <w:t xml:space="preserve">ℓ</w:t>
      </w:r>
      <w:r>
        <w:rPr>
          <w:rFonts w:ascii="Arial" w:hAnsi="Arial" w:cs="Arial" w:eastAsia="Arial"/>
          <w:color w:val="auto"/>
          <w:spacing w:val="0"/>
          <w:position w:val="0"/>
          <w:sz w:val="22"/>
          <w:shd w:fill="auto" w:val="clear"/>
        </w:rPr>
        <w:t xml:space="preserve"> / A)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Result: 10²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10³ Ω.</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IV. Network Performance Metrics</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Individual Quality Factor (Q): Calculated as Q = </w:t>
      </w:r>
      <w:r>
        <w:rPr>
          <w:rFonts w:ascii="Arial" w:hAnsi="Arial" w:cs="Arial" w:eastAsia="Arial"/>
          <w:color w:val="auto"/>
          <w:spacing w:val="0"/>
          <w:position w:val="0"/>
          <w:sz w:val="22"/>
          <w:shd w:fill="auto" w:val="clear"/>
        </w:rPr>
        <w:t xml:space="preserve">ωL / R. Given L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1.0 H and R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10² Ω, the individual node Q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0.8 at 12.5 Hz.</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Systemic Gain: Due to the low individual Q, the detectability of the 12.5 Hz signal is strictly dependent on the Collective Phased Array gain. The synchronization of N nodes provides a power-summation effect that overcomes the high-damping environment of the biotic medium.</w:t>
      </w:r>
    </w:p>
    <w:p>
      <w:pPr>
        <w:spacing w:before="0" w:after="200" w:line="276"/>
        <w:ind w:right="0" w:left="72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 Simulation Benchmarks</w:t>
      </w:r>
    </w:p>
    <w:p>
      <w:pPr>
        <w:spacing w:before="0" w:after="200" w:line="276"/>
        <w:ind w:right="0" w:left="14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Quality Factor (Q): Impact of substrate and mineralized trace properties on signal purity.</w:t>
        <w:br/>
        <w:t xml:space="preserve">Beamforming Profile: Analysis of the phase-coherent pattern (Rr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0 vs Rloss).</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Note on Mode Conversion Efficiency:</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proposed conversion from inductive NFMI flux to Leaky-Wave radiation via synchronized ionic flow remains the most speculative functional block of the architecture. The physical efficiency of this conversion requires further quantification of the biotic waveguides' dielectric properties. Future computational validation via HFSS/CST is essential to determine if the illustrated botanical morphologies can provide the necessary phase-velocity discontinuities required for efficient mode transition.</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this study utilizes the morphologies of MS 408 as a case study, the model serves as a conceptual framework for modular biotic architectures. The objective is to evaluate whether these geometric patterns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regardless of the specific efficiency of the manuscript's historical illustrations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can provide theoretical insights into biomineralization, NFMI coupling, or thermal management for future organic hardware research.</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integrating fractal geometries and phased array dynamics, the model transitions from a material-dependent hypothesis to a system-wide electromagnetic architecture. This ensures the 12.5 Hz resonance is physically achievable within biological constraints, making the framework compatible with modern bio-inspired simulation tools.</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Order-of-Magnitude Constraints and System Viability:</w:t>
      </w:r>
    </w:p>
    <w:p>
      <w:pPr>
        <w:spacing w:before="0" w:after="20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primary challenge for the proposed architecture is the efficiency-loss ratio at 12.5 Hz. Given the ultra-subwavelength nature of the biological apertures, the estimated radiation resistance (Rr) is significantly lower than the cumulative ohmic and substrate losses (Rloss), characterized by Rᵣ </w:t>
      </w:r>
      <w:r>
        <w:rPr>
          <w:rFonts w:ascii="Cambria Math" w:hAnsi="Cambria Math" w:cs="Cambria Math" w:eastAsia="Cambria Math"/>
          <w:color w:val="auto"/>
          <w:spacing w:val="0"/>
          <w:position w:val="0"/>
          <w:sz w:val="22"/>
          <w:shd w:fill="auto" w:val="clear"/>
        </w:rPr>
        <w:t xml:space="preserve">→ 0</w:t>
      </w:r>
      <w:r>
        <w:rPr>
          <w:rFonts w:ascii="Arial" w:hAnsi="Arial" w:cs="Arial" w:eastAsia="Arial"/>
          <w:color w:val="auto"/>
          <w:spacing w:val="0"/>
          <w:position w:val="0"/>
          <w:sz w:val="22"/>
          <w:shd w:fill="auto" w:val="clear"/>
        </w:rPr>
        <w:t xml:space="preserve">. This constraint implies a very low individual radiation efficiency, suggesting that signal detectability relies not on single-unit power, but on the massive constructive interference of a synchronized Phased Array. This order-of-magnitude gap serves as a baseline for future computational modeling to determine the minimum array density required for far-field propagation.</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License: CC BY 4.0. Original work by Santi López.</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