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i w:val="0"/>
          <w:color w:val="B78916"/>
          <w:sz w:val="18"/>
        </w:rPr>
        <w:t>PRODUCT API SPECIFICATION</w:t>
      </w:r>
    </w:p>
    <w:p>
      <w:pPr>
        <w:pStyle w:val="Title"/>
      </w:pPr>
      <w:r>
        <w:t>Caishen Investment Analysis API</w:t>
      </w:r>
    </w:p>
    <w:p>
      <w:pPr>
        <w:pStyle w:val="Subtitle"/>
      </w:pPr>
      <w:r>
        <w:t>Plain-English market research, public-source context, and educational strategy scenarios.</w:t>
      </w:r>
    </w:p>
    <w:p>
      <w:pPr>
        <w:spacing w:after="40"/>
      </w:pPr>
      <w:r>
        <w:rPr>
          <w:rFonts w:ascii="Calibri" w:hAnsi="Calibri"/>
          <w:b/>
          <w:i w:val="0"/>
          <w:color w:val="1F4D78"/>
          <w:sz w:val="20"/>
        </w:rPr>
        <w:t xml:space="preserve">Status: </w:t>
      </w:r>
      <w:r>
        <w:rPr>
          <w:rFonts w:ascii="Calibri" w:hAnsi="Calibri"/>
          <w:b w:val="0"/>
          <w:i w:val="0"/>
          <w:color w:val="21272B"/>
          <w:sz w:val="20"/>
        </w:rPr>
        <w:t>Implementation-aligned</w:t>
      </w:r>
    </w:p>
    <w:p>
      <w:pPr>
        <w:spacing w:after="40"/>
      </w:pPr>
      <w:r>
        <w:rPr>
          <w:rFonts w:ascii="Calibri" w:hAnsi="Calibri"/>
          <w:b/>
          <w:i w:val="0"/>
          <w:color w:val="1F4D78"/>
          <w:sz w:val="20"/>
        </w:rPr>
        <w:t xml:space="preserve">Version: </w:t>
      </w:r>
      <w:r>
        <w:rPr>
          <w:rFonts w:ascii="Calibri" w:hAnsi="Calibri"/>
          <w:b w:val="0"/>
          <w:i w:val="0"/>
          <w:color w:val="21272B"/>
          <w:sz w:val="20"/>
        </w:rPr>
        <w:t>1.0</w:t>
      </w:r>
    </w:p>
    <w:p>
      <w:pPr>
        <w:spacing w:after="40"/>
      </w:pPr>
      <w:r>
        <w:rPr>
          <w:rFonts w:ascii="Calibri" w:hAnsi="Calibri"/>
          <w:b/>
          <w:i w:val="0"/>
          <w:color w:val="1F4D78"/>
          <w:sz w:val="20"/>
        </w:rPr>
        <w:t xml:space="preserve">Runtime: </w:t>
      </w:r>
      <w:r>
        <w:rPr>
          <w:rFonts w:ascii="Calibri" w:hAnsi="Calibri"/>
          <w:b w:val="0"/>
          <w:i w:val="0"/>
          <w:color w:val="21272B"/>
          <w:sz w:val="20"/>
        </w:rPr>
        <w:t>FastAPI / AWS Lambda / API Gateway</w:t>
      </w:r>
    </w:p>
    <w:p>
      <w:pPr>
        <w:spacing w:after="40"/>
      </w:pPr>
      <w:r>
        <w:rPr>
          <w:rFonts w:ascii="Calibri" w:hAnsi="Calibri"/>
          <w:b/>
          <w:i w:val="0"/>
          <w:color w:val="1F4D78"/>
          <w:sz w:val="20"/>
        </w:rPr>
        <w:t xml:space="preserve">Last reviewed: </w:t>
      </w:r>
      <w:r>
        <w:rPr>
          <w:rFonts w:ascii="Calibri" w:hAnsi="Calibri"/>
          <w:b w:val="0"/>
          <w:i w:val="0"/>
          <w:color w:val="21272B"/>
          <w:sz w:val="20"/>
        </w:rPr>
        <w:t>June 4, 2026</w:t>
      </w:r>
    </w:p>
    <w:p>
      <w:pPr>
        <w:spacing w:after="80"/>
      </w:pPr>
    </w:p>
    <w:p>
      <w:pPr>
        <w:spacing w:before="80" w:after="160"/>
        <w:ind w:left="173" w:right="173"/>
        <w:shd w:fill="FFF7DF"/>
      </w:pPr>
      <w:r>
        <w:rPr>
          <w:rFonts w:ascii="Calibri" w:hAnsi="Calibri"/>
          <w:b/>
          <w:i w:val="0"/>
          <w:color w:val="B78916"/>
          <w:sz w:val="20"/>
        </w:rPr>
        <w:t xml:space="preserve">Safety boundary: </w:t>
      </w:r>
      <w:r>
        <w:rPr>
          <w:rFonts w:ascii="Calibri" w:hAnsi="Calibri"/>
          <w:b w:val="0"/>
          <w:i w:val="0"/>
          <w:color w:val="21272B"/>
          <w:sz w:val="20"/>
        </w:rPr>
        <w:t>Caishen is read-only and educational. It never executes trades, guarantees outcomes, or issues personalized buy/sell instructions.</w:t>
      </w:r>
    </w:p>
    <w:p>
      <w:pPr>
        <w:pStyle w:val="Heading1"/>
      </w:pPr>
      <w:r>
        <w:t>1. Purpose And Scope</w:t>
      </w:r>
    </w:p>
    <w:p>
      <w:r>
        <w:t>The Caishen API accepts natural-language investment research questions plus optional structured context. It returns a plain-English answer and a structured analysis brief for the frontend insights panel.</w:t>
      </w:r>
    </w:p>
    <w:p>
      <w:pPr>
        <w:pStyle w:val="ListBullet"/>
      </w:pPr>
      <w:r>
        <w:t>Analyze and compare public-market tickers using yfinance-backed snapshots.</w:t>
      </w:r>
    </w:p>
    <w:p>
      <w:pPr>
        <w:pStyle w:val="ListBullet"/>
      </w:pPr>
      <w:r>
        <w:t>Summarize user-supplied public HTTP/HTTPS sources after guarded retrieval.</w:t>
      </w:r>
    </w:p>
    <w:p>
      <w:pPr>
        <w:pStyle w:val="ListBullet"/>
      </w:pPr>
      <w:r>
        <w:t>Retrieve curated educational notes for investment concepts and risk framing.</w:t>
      </w:r>
    </w:p>
    <w:p>
      <w:pPr>
        <w:pStyle w:val="ListBullet"/>
      </w:pPr>
      <w:r>
        <w:t>Describe hypothetical strategy scenarios without making a personalized recommendation.</w:t>
      </w:r>
    </w:p>
    <w:p>
      <w:pPr>
        <w:pStyle w:val="Heading1"/>
      </w:pPr>
      <w:r>
        <w:t>2. Service Contract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1600"/>
        <w:gridCol w:w="5210"/>
        <w:gridCol w:w="1500"/>
      </w:tblGrid>
      <w:tr>
        <w:trPr>
          <w:tblHeader w:val="true"/>
        </w:trPr>
        <w:tc>
          <w:tcPr>
            <w:tcW w:type="dxa" w:w="1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Method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Path</w:t>
            </w:r>
          </w:p>
        </w:tc>
        <w:tc>
          <w:tcPr>
            <w:tcW w:type="dxa" w:w="52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Purpose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Success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GET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/health</w:t>
            </w:r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Liveness and application identity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200</w:t>
            </w:r>
          </w:p>
        </w:tc>
      </w:tr>
      <w:tr>
        <w:tc>
          <w:tcPr>
            <w:tcW w:type="dxa" w:w="10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GET</w:t>
            </w:r>
          </w:p>
        </w:tc>
        <w:tc>
          <w:tcPr>
            <w:tcW w:type="dxa" w:w="1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/ready</w:t>
            </w:r>
          </w:p>
        </w:tc>
        <w:tc>
          <w:tcPr>
            <w:tcW w:type="dxa" w:w="52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Provider and runtime readiness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200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POST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/chat</w:t>
            </w:r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Run a Caishen research workflow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200</w:t>
            </w:r>
          </w:p>
        </w:tc>
      </w:tr>
      <w:tr>
        <w:tc>
          <w:tcPr>
            <w:tcW w:type="dxa" w:w="10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GET</w:t>
            </w:r>
          </w:p>
        </w:tc>
        <w:tc>
          <w:tcPr>
            <w:tcW w:type="dxa" w:w="1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/docs</w:t>
            </w:r>
          </w:p>
        </w:tc>
        <w:tc>
          <w:tcPr>
            <w:tcW w:type="dxa" w:w="52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FastAPI interactive OpenAPI reference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200</w:t>
            </w:r>
          </w:p>
        </w:tc>
      </w:tr>
    </w:tbl>
    <w:p>
      <w:pPr>
        <w:spacing w:after="0"/>
      </w:pPr>
    </w:p>
    <w:p>
      <w:pPr>
        <w:pStyle w:val="Heading2"/>
      </w:pPr>
      <w:r>
        <w:t>Provider Selection</w:t>
      </w:r>
    </w:p>
    <w:p>
      <w:r>
        <w:t>A request may select mock, OpenAI, Anthropic, Google, or Bedrock. The optional model must match the server-side allowlisted model for that provider. Credentials are never accepted from the client.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800"/>
        <w:gridCol w:w="5060"/>
      </w:tblGrid>
      <w:tr>
        <w:trPr>
          <w:tblHeader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Provider</w:t>
            </w:r>
          </w:p>
        </w:tc>
        <w:tc>
          <w:tcPr>
            <w:tcW w:type="dxa" w:w="2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Default model setting</w:t>
            </w:r>
          </w:p>
        </w:tc>
        <w:tc>
          <w:tcPr>
            <w:tcW w:type="dxa" w:w="5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Credential path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mock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caishen-mock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None; deterministic offline behavior</w:t>
            </w:r>
          </w:p>
        </w:tc>
      </w:tr>
      <w:tr>
        <w:tc>
          <w:tcPr>
            <w:tcW w:type="dxa" w:w="1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openai</w:t>
            </w:r>
          </w:p>
        </w:tc>
        <w:tc>
          <w:tcPr>
            <w:tcW w:type="dxa" w:w="2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OPENAI_MODEL</w:t>
            </w:r>
          </w:p>
        </w:tc>
        <w:tc>
          <w:tcPr>
            <w:tcW w:type="dxa" w:w="50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OPENAI_API_KEY on server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anthropic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ANTHROPIC_MODEL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ANTHROPIC_API_KEY on server</w:t>
            </w:r>
          </w:p>
        </w:tc>
      </w:tr>
      <w:tr>
        <w:tc>
          <w:tcPr>
            <w:tcW w:type="dxa" w:w="1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google</w:t>
            </w:r>
          </w:p>
        </w:tc>
        <w:tc>
          <w:tcPr>
            <w:tcW w:type="dxa" w:w="2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GOOGLE_MODEL</w:t>
            </w:r>
          </w:p>
        </w:tc>
        <w:tc>
          <w:tcPr>
            <w:tcW w:type="dxa" w:w="50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GOOGLE_API_KEY on server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bedrock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BEDROCK_MODEL_ID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Lambda role / AWS credentials</w:t>
            </w:r>
          </w:p>
        </w:tc>
      </w:tr>
    </w:tbl>
    <w:p>
      <w:pPr>
        <w:spacing w:after="0"/>
      </w:pPr>
    </w:p>
    <w:p>
      <w:pPr>
        <w:pStyle w:val="Heading1"/>
      </w:pPr>
      <w:r>
        <w:t>3. POST /chat Request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800"/>
        <w:gridCol w:w="1250"/>
        <w:gridCol w:w="4210"/>
      </w:tblGrid>
      <w:tr>
        <w:trPr>
          <w:tblHeader w:val="true"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Field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Type</w:t>
            </w:r>
          </w:p>
        </w:tc>
        <w:tc>
          <w:tcPr>
            <w:tcW w:type="dxa" w:w="1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Required</w:t>
            </w:r>
          </w:p>
        </w:tc>
        <w:tc>
          <w:tcPr>
            <w:tcW w:type="dxa" w:w="42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Rules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message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Yes</w:t>
            </w:r>
          </w:p>
        </w:tc>
        <w:tc>
          <w:tcPr>
            <w:tcW w:type="dxa" w:w="4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1-4,000 characters</w:t>
            </w:r>
          </w:p>
        </w:tc>
      </w:tr>
      <w:tr>
        <w:tc>
          <w:tcPr>
            <w:tcW w:type="dxa" w:w="2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session_id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string | null</w:t>
            </w:r>
          </w:p>
        </w:tc>
        <w:tc>
          <w:tcPr>
            <w:tcW w:type="dxa" w:w="12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No</w:t>
            </w:r>
          </w:p>
        </w:tc>
        <w:tc>
          <w:tcPr>
            <w:tcW w:type="dxa" w:w="42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Reuses a client session identifier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client_request_id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string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No</w:t>
            </w:r>
          </w:p>
        </w:tc>
        <w:tc>
          <w:tcPr>
            <w:tcW w:type="dxa" w:w="4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Optional idempotency/correlation identifier</w:t>
            </w:r>
          </w:p>
        </w:tc>
      </w:tr>
      <w:tr>
        <w:tc>
          <w:tcPr>
            <w:tcW w:type="dxa" w:w="2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provider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enum | null</w:t>
            </w:r>
          </w:p>
        </w:tc>
        <w:tc>
          <w:tcPr>
            <w:tcW w:type="dxa" w:w="12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No</w:t>
            </w:r>
          </w:p>
        </w:tc>
        <w:tc>
          <w:tcPr>
            <w:tcW w:type="dxa" w:w="42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mock, openai, anthropic, google, bedrock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model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string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No</w:t>
            </w:r>
          </w:p>
        </w:tc>
        <w:tc>
          <w:tcPr>
            <w:tcW w:type="dxa" w:w="4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Must equal provider allowlist entry</w:t>
            </w:r>
          </w:p>
        </w:tc>
      </w:tr>
      <w:tr>
        <w:tc>
          <w:tcPr>
            <w:tcW w:type="dxa" w:w="2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analysis_context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object</w:t>
            </w:r>
          </w:p>
        </w:tc>
        <w:tc>
          <w:tcPr>
            <w:tcW w:type="dxa" w:w="12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No</w:t>
            </w:r>
          </w:p>
        </w:tc>
        <w:tc>
          <w:tcPr>
            <w:tcW w:type="dxa" w:w="42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Defaults to an empty context</w:t>
            </w:r>
          </w:p>
        </w:tc>
      </w:tr>
    </w:tbl>
    <w:p>
      <w:pPr>
        <w:spacing w:after="0"/>
      </w:pPr>
    </w:p>
    <w:p>
      <w:pPr>
        <w:pStyle w:val="Heading2"/>
      </w:pPr>
      <w:r>
        <w:t>Analysis Context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1800"/>
        <w:gridCol w:w="5260"/>
      </w:tblGrid>
      <w:tr>
        <w:trPr>
          <w:tblHeader w:val="true"/>
        </w:trP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Field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Type</w:t>
            </w:r>
          </w:p>
        </w:tc>
        <w:tc>
          <w:tcPr>
            <w:tcW w:type="dxa" w:w="5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Limit / values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tickers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string[]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Up to 8; normalized uppercase</w:t>
            </w:r>
          </w:p>
        </w:tc>
      </w:tr>
      <w:tr>
        <w:tc>
          <w:tcPr>
            <w:tcW w:type="dxa" w:w="23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source_urls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string[]</w:t>
            </w:r>
          </w:p>
        </w:tc>
        <w:tc>
          <w:tcPr>
            <w:tcW w:type="dxa" w:w="52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Up to 3 public HTTP/HTTPS URLs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risk_tolerance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enum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unspecified, conservative, balanced, growth</w:t>
            </w:r>
          </w:p>
        </w:tc>
      </w:tr>
      <w:tr>
        <w:tc>
          <w:tcPr>
            <w:tcW w:type="dxa" w:w="23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horizon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enum</w:t>
            </w:r>
          </w:p>
        </w:tc>
        <w:tc>
          <w:tcPr>
            <w:tcW w:type="dxa" w:w="52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unspecified, short, medium, long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goal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string | null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Up to 300 characters</w:t>
            </w:r>
          </w:p>
        </w:tc>
      </w:tr>
    </w:tbl>
    <w:p>
      <w:pPr>
        <w:spacing w:after="0"/>
      </w:pPr>
    </w:p>
    <w:p>
      <w:pPr>
        <w:spacing w:before="80" w:after="160"/>
        <w:ind w:left="173" w:right="173"/>
        <w:shd w:fill="F7F7F5"/>
      </w:pPr>
      <w:r>
        <w:rPr>
          <w:rFonts w:ascii="Consolas" w:hAnsi="Consolas"/>
          <w:sz w:val="17"/>
        </w:rPr>
        <w:t>{</w:t>
        <w:br/>
        <w:t xml:space="preserve">  "message": "Compare AAPL and MSFT for a long-term goal",</w:t>
        <w:br/>
        <w:t xml:space="preserve">  "provider": "mock",</w:t>
        <w:br/>
        <w:t xml:space="preserve">  "analysis_context": {</w:t>
        <w:br/>
        <w:t xml:space="preserve">    "tickers": ["AAPL", "MSFT"],</w:t>
        <w:br/>
        <w:t xml:space="preserve">    "source_urls": [],</w:t>
        <w:br/>
        <w:t xml:space="preserve">    "risk_tolerance": "balanced",</w:t>
        <w:br/>
        <w:t xml:space="preserve">    "horizon": "long",</w:t>
        <w:br/>
        <w:t xml:space="preserve">    "goal": "Evaluate durable growth"</w:t>
        <w:br/>
        <w:t xml:space="preserve">  }</w:t>
        <w:br/>
        <w:t>}</w:t>
      </w:r>
    </w:p>
    <w:p>
      <w:pPr>
        <w:pStyle w:val="Heading1"/>
      </w:pPr>
      <w:r>
        <w:t>4. POST /chat Response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800"/>
        <w:gridCol w:w="5360"/>
      </w:tblGrid>
      <w:tr>
        <w:trPr>
          <w:tblHeader w:val="true"/>
        </w:trP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Field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Type</w:t>
            </w:r>
          </w:p>
        </w:tc>
        <w:tc>
          <w:tcPr>
            <w:tcW w:type="dxa" w:w="5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Purpose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request_id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string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Server request correlation identifier</w:t>
            </w:r>
          </w:p>
        </w:tc>
      </w:tr>
      <w:tr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session_id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string</w:t>
            </w:r>
          </w:p>
        </w:tc>
        <w:tc>
          <w:tcPr>
            <w:tcW w:type="dxa" w:w="5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Session identifier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route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string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Selected workflow route</w:t>
            </w:r>
          </w:p>
        </w:tc>
      </w:tr>
      <w:tr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provider / model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string</w:t>
            </w:r>
          </w:p>
        </w:tc>
        <w:tc>
          <w:tcPr>
            <w:tcW w:type="dxa" w:w="5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Actual generation adapter and allowlisted model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answer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string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Plain-English response</w:t>
            </w:r>
          </w:p>
        </w:tc>
      </w:tr>
      <w:tr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analysis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object</w:t>
            </w:r>
          </w:p>
        </w:tc>
        <w:tc>
          <w:tcPr>
            <w:tcW w:type="dxa" w:w="5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Structured insights for the frontend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tool_traces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array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Deterministic tool inputs, results, and warnings</w:t>
            </w:r>
          </w:p>
        </w:tc>
      </w:tr>
      <w:tr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citations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array</w:t>
            </w:r>
          </w:p>
        </w:tc>
        <w:tc>
          <w:tcPr>
            <w:tcW w:type="dxa" w:w="5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Public-source or curated-note evidence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refusal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object | null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Safety category and explanation</w:t>
            </w:r>
          </w:p>
        </w:tc>
      </w:tr>
      <w:tr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debug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object</w:t>
            </w:r>
          </w:p>
        </w:tc>
        <w:tc>
          <w:tcPr>
            <w:tcW w:type="dxa" w:w="5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Optional server-controlled diagnostics</w:t>
            </w:r>
          </w:p>
        </w:tc>
      </w:tr>
    </w:tbl>
    <w:p>
      <w:pPr>
        <w:spacing w:after="0"/>
      </w:pPr>
    </w:p>
    <w:p>
      <w:pPr>
        <w:pStyle w:val="Heading2"/>
      </w:pPr>
      <w:r>
        <w:t>Structured Analysis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Collection</w:t>
            </w:r>
          </w:p>
        </w:tc>
        <w:tc>
          <w:tcPr>
            <w:tcW w:type="dxa" w:w="6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Content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market_snapshots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Ticker, company, price, returns, volatility, valuation metadata, timestamp, and status</w:t>
            </w:r>
          </w:p>
        </w:tc>
      </w:tr>
      <w:tr>
        <w:tc>
          <w:tcPr>
            <w:tcW w:type="dxa" w:w="2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key_takeaways</w:t>
            </w:r>
          </w:p>
        </w:tc>
        <w:tc>
          <w:tcPr>
            <w:tcW w:type="dxa" w:w="6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Short evidence-grounded observations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risk_notes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Data, volatility, concentration, and safety caveats</w:t>
            </w:r>
          </w:p>
        </w:tc>
      </w:tr>
      <w:tr>
        <w:tc>
          <w:tcPr>
            <w:tcW w:type="dxa" w:w="2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source_summaries</w:t>
            </w:r>
          </w:p>
        </w:tc>
        <w:tc>
          <w:tcPr>
            <w:tcW w:type="dxa" w:w="6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URL, title, sanitized summary, fetch timestamp, and status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strategy_scenarios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Educational hypothetical scenarios based on stated context</w:t>
            </w:r>
          </w:p>
        </w:tc>
      </w:tr>
    </w:tbl>
    <w:p>
      <w:pPr>
        <w:spacing w:after="0"/>
      </w:pPr>
    </w:p>
    <w:p>
      <w:pPr>
        <w:spacing w:before="80" w:after="160"/>
        <w:ind w:left="173" w:right="173"/>
        <w:shd w:fill="FFF7DF"/>
      </w:pPr>
      <w:r>
        <w:rPr>
          <w:rFonts w:ascii="Calibri" w:hAnsi="Calibri"/>
          <w:b/>
          <w:i w:val="0"/>
          <w:color w:val="B78916"/>
          <w:sz w:val="20"/>
        </w:rPr>
        <w:t xml:space="preserve">Unavailable data: </w:t>
      </w:r>
      <w:r>
        <w:rPr>
          <w:rFonts w:ascii="Calibri" w:hAnsi="Calibri"/>
          <w:b w:val="0"/>
          <w:i w:val="0"/>
          <w:color w:val="21272B"/>
          <w:sz w:val="20"/>
        </w:rPr>
        <w:t>When market or source data cannot be verified, Caishen returns an explicit unavailable/stale status and does not invent values.</w:t>
      </w:r>
    </w:p>
    <w:p>
      <w:pPr>
        <w:pStyle w:val="Heading1"/>
      </w:pPr>
      <w:r>
        <w:t>5. Routing And Safety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700"/>
        <w:gridCol w:w="4460"/>
      </w:tblGrid>
      <w:tr>
        <w:trPr>
          <w:tblHeader w:val="true"/>
        </w:trP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Route</w:t>
            </w:r>
          </w:p>
        </w:tc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Typical trigger</w:t>
            </w:r>
          </w:p>
        </w:tc>
        <w:tc>
          <w:tcPr>
            <w:tcW w:type="dxa" w:w="4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Behavior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market_analysis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Ticker lookup or comparison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Market tools plus structured analysis</w:t>
            </w:r>
          </w:p>
        </w:tc>
      </w:tr>
      <w:tr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source_analysis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One or more public source URLs</w:t>
            </w:r>
          </w:p>
        </w:tc>
        <w:tc>
          <w:tcPr>
            <w:tcW w:type="dxa" w:w="44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Guarded fetch, summary, citation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research_explanation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Investment concept or method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Curated RAG notes and citations</w:t>
            </w:r>
          </w:p>
        </w:tc>
      </w:tr>
      <w:tr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strategy_scenario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Educational horizon/risk scenario</w:t>
            </w:r>
          </w:p>
        </w:tc>
        <w:tc>
          <w:tcPr>
            <w:tcW w:type="dxa" w:w="44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Hypothetical tradeoff framing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clarification_route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Insufficient context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Asks for a more specific research question</w:t>
            </w:r>
          </w:p>
        </w:tc>
      </w:tr>
      <w:tr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refusal_route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Execution, guarantee, manipulation, or personalized directive</w:t>
            </w:r>
          </w:p>
        </w:tc>
        <w:tc>
          <w:tcPr>
            <w:tcW w:type="dxa" w:w="44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Refuses and offers safe educational alternatives</w:t>
            </w:r>
          </w:p>
        </w:tc>
      </w:tr>
    </w:tbl>
    <w:p>
      <w:pPr>
        <w:spacing w:after="0"/>
      </w:pPr>
    </w:p>
    <w:p>
      <w:pPr>
        <w:pStyle w:val="Heading2"/>
      </w:pPr>
      <w:r>
        <w:t>Public URL Guardrails</w:t>
      </w:r>
    </w:p>
    <w:p>
      <w:pPr>
        <w:pStyle w:val="ListBullet"/>
      </w:pPr>
      <w:r>
        <w:t>Only HTTP and HTTPS URLs without embedded credentials are accepted.</w:t>
      </w:r>
    </w:p>
    <w:p>
      <w:pPr>
        <w:pStyle w:val="ListBullet"/>
      </w:pPr>
      <w:r>
        <w:t>Loopback, private, link-local, multicast, reserved, and local hostnames are blocked.</w:t>
      </w:r>
    </w:p>
    <w:p>
      <w:pPr>
        <w:pStyle w:val="ListBullet"/>
      </w:pPr>
      <w:r>
        <w:t>Redirect count, request time, response size, and content type are limited.</w:t>
      </w:r>
    </w:p>
    <w:p>
      <w:pPr>
        <w:pStyle w:val="ListBullet"/>
      </w:pPr>
      <w:r>
        <w:t>Scripts, styles, forms, navigation, and other non-content elements are removed.</w:t>
      </w:r>
    </w:p>
    <w:p>
      <w:pPr>
        <w:pStyle w:val="ListBullet"/>
      </w:pPr>
      <w:r>
        <w:t>Every source summary carries an explicit fetch timestamp and status.</w:t>
      </w:r>
    </w:p>
    <w:p>
      <w:pPr>
        <w:pStyle w:val="Heading1"/>
      </w:pPr>
      <w:r>
        <w:t>6. Error Contract</w:t>
      </w:r>
    </w:p>
    <w:p>
      <w:r>
        <w:t>Application errors are translated to JSON HTTP errors. Client validation failures use FastAPI/Pydantic's 422 response. Provider readiness and model invocation errors remain distinct so the frontend can present useful states.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3200"/>
        <w:gridCol w:w="4810"/>
      </w:tblGrid>
      <w:tr>
        <w:trPr>
          <w:tblHeader w:val="true"/>
        </w:trPr>
        <w:tc>
          <w:tcPr>
            <w:tcW w:type="dxa" w:w="1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Status</w:t>
            </w:r>
          </w:p>
        </w:tc>
        <w:tc>
          <w:tcPr>
            <w:tcW w:type="dxa" w:w="3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Code</w:t>
            </w:r>
          </w:p>
        </w:tc>
        <w:tc>
          <w:tcPr>
            <w:tcW w:type="dxa" w:w="48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Meaning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403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policy_violation / access_denied</w:t>
            </w:r>
          </w:p>
        </w:tc>
        <w:tc>
          <w:tcPr>
            <w:tcW w:type="dxa" w:w="4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A guarded action or resource was denied</w:t>
            </w:r>
          </w:p>
        </w:tc>
      </w:tr>
      <w:tr>
        <w:tc>
          <w:tcPr>
            <w:tcW w:type="dxa" w:w="13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422</w:t>
            </w:r>
          </w:p>
        </w:tc>
        <w:tc>
          <w:tcPr>
            <w:tcW w:type="dxa" w:w="3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validation_error</w:t>
            </w:r>
          </w:p>
        </w:tc>
        <w:tc>
          <w:tcPr>
            <w:tcW w:type="dxa" w:w="48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Provider/model or request validation failed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502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model_invocation_error</w:t>
            </w:r>
          </w:p>
        </w:tc>
        <w:tc>
          <w:tcPr>
            <w:tcW w:type="dxa" w:w="4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Configured provider generation failed</w:t>
            </w:r>
          </w:p>
        </w:tc>
      </w:tr>
      <w:tr>
        <w:tc>
          <w:tcPr>
            <w:tcW w:type="dxa" w:w="13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503</w:t>
            </w:r>
          </w:p>
        </w:tc>
        <w:tc>
          <w:tcPr>
            <w:tcW w:type="dxa" w:w="3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resource_not_ready</w:t>
            </w:r>
          </w:p>
        </w:tc>
        <w:tc>
          <w:tcPr>
            <w:tcW w:type="dxa" w:w="48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Requested provider is not configured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500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internal_error</w:t>
            </w:r>
          </w:p>
        </w:tc>
        <w:tc>
          <w:tcPr>
            <w:tcW w:type="dxa" w:w="4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72B"/>
                <w:sz w:val="18"/>
              </w:rPr>
              <w:t>Unexpected server failure</w:t>
            </w:r>
          </w:p>
        </w:tc>
      </w:tr>
    </w:tbl>
    <w:p>
      <w:pPr>
        <w:spacing w:after="0"/>
      </w:pPr>
    </w:p>
    <w:p>
      <w:pPr>
        <w:spacing w:before="80" w:after="160"/>
        <w:ind w:left="173" w:right="173"/>
        <w:shd w:fill="F7F7F5"/>
      </w:pPr>
      <w:r>
        <w:rPr>
          <w:rFonts w:ascii="Consolas" w:hAnsi="Consolas"/>
          <w:sz w:val="17"/>
        </w:rPr>
        <w:t>{</w:t>
        <w:br/>
        <w:t xml:space="preserve">  "detail": {</w:t>
        <w:br/>
        <w:t xml:space="preserve">    "code": "resource_not_ready",</w:t>
        <w:br/>
        <w:t xml:space="preserve">    "message": "The openai provider is not configured on the server.",</w:t>
        <w:br/>
        <w:t xml:space="preserve">    "detail": null</w:t>
        <w:br/>
        <w:t xml:space="preserve">  }</w:t>
        <w:br/>
        <w:t>}</w:t>
      </w:r>
    </w:p>
    <w:p>
      <w:pPr>
        <w:pStyle w:val="Heading1"/>
      </w:pPr>
      <w:r>
        <w:t>7. Deployment Notes</w:t>
      </w:r>
    </w:p>
    <w:p>
      <w:pPr>
        <w:pStyle w:val="ListBullet"/>
      </w:pPr>
      <w:r>
        <w:t>CloudFront routes /api/* to API Gateway and serves the static Next.js export from private S3.</w:t>
      </w:r>
    </w:p>
    <w:p>
      <w:pPr>
        <w:pStyle w:val="ListBullet"/>
      </w:pPr>
      <w:r>
        <w:t>The Lambda image builds local RAG chunks from curated Markdown during image creation.</w:t>
      </w:r>
    </w:p>
    <w:p>
      <w:pPr>
        <w:pStyle w:val="ListBullet"/>
      </w:pPr>
      <w:r>
        <w:t>Provider keys and AWS credentials remain outside frontend bundles and chat payloads.</w:t>
      </w:r>
    </w:p>
    <w:p>
      <w:pPr>
        <w:pStyle w:val="ListBullet"/>
      </w:pPr>
      <w:r>
        <w:t>Terraform apply/destroy requires explicit operator review, especially when migrating older resource names.</w:t>
      </w:r>
    </w:p>
    <w:p>
      <w:pPr>
        <w:pStyle w:val="ListBullet"/>
      </w:pPr>
      <w:r>
        <w:t>Health, readiness, schema, refusal, and unavailable-data behavior must be smoke-tested after deployment.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F656A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5F656A"/>
        <w:sz w:val="17"/>
      </w:rPr>
      <w:t>CAISHEN API  |  VERSION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127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B78916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b w:val="0"/>
      <w:i/>
      <w:iCs/>
      <w:color w:val="5F656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Caishen API Specification</dc:title>
  <dc:subject>Investment analysis API contracts and safety boundaries</dc:subject>
  <dc:creator>Caishen</dc:creator>
  <cp:keywords>Caishen, API, FastAPI, investment analysis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