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OPERATOR AGREEMENT</w:t>
      </w:r>
    </w:p>
    <w:p>
      <w:r>
        <w:t>This Operator Agreement (“Agreement”) governs the relationship between the project entity and an Operator — a project lead responsible for execution, planning and coordination.</w:t>
      </w:r>
    </w:p>
    <w:p>
      <w:pPr>
        <w:pStyle w:val="Heading2"/>
      </w:pPr>
      <w:r>
        <w:t>1. Parties</w:t>
      </w:r>
    </w:p>
    <w:p>
      <w:r>
        <w:t>Date: ______________________</w:t>
      </w:r>
    </w:p>
    <w:p>
      <w:r>
        <w:t>Project Name: ____________________________</w:t>
      </w:r>
    </w:p>
    <w:p>
      <w:r>
        <w:t>Operator: ____________________________</w:t>
      </w:r>
    </w:p>
    <w:p>
      <w:pPr>
        <w:pStyle w:val="Heading2"/>
      </w:pPr>
      <w:r>
        <w:t>2. Role and Authority</w:t>
      </w:r>
    </w:p>
    <w:p>
      <w:r>
        <w:t>The Operator is responsible for day‑to‑day operations, project planning, sprint management and team coordination. The Operator shall execute strategic direction set collectively, ensure timely delivery and maintain quality standards. Authority is shared with other Founders and subject to the governance decision structure; major decisions require supermajority approval.</w:t>
      </w:r>
    </w:p>
    <w:p>
      <w:pPr>
        <w:pStyle w:val="Heading2"/>
      </w:pPr>
      <w:r>
        <w:t>3. Equity Allocation and Pool Structure</w:t>
      </w:r>
    </w:p>
    <w:p>
      <w:r>
        <w:t>Operators receive equity from the Main Pool (60% of total equity when Contributors exist, 70% when no Contributors exist). Each Operator is weighted at 1.00 in the allocation formula. Operator equity percentage is calculated as (Main Pool × 1.00) divided by the total weight of all Ideators, Operators and Founders.</w:t>
      </w:r>
    </w:p>
    <w:p>
      <w:r>
        <w:t>Example: In a team with 1 Ideator, 1 Operator and 3 Founders, total weight = 1.15 + 1.00 + 3 × 0.65 = 4.10. Main Pool = 60%. The Operator receives (60 × 1 ÷ 4.10) ≈ 14.63%.</w:t>
      </w:r>
    </w:p>
    <w:p>
      <w:pPr>
        <w:pStyle w:val="Heading2"/>
      </w:pPr>
      <w:r>
        <w:t>4. Vesting Schedule</w:t>
      </w:r>
    </w:p>
    <w:p>
      <w:r>
        <w:t>Operator equity is subject to a four‑year vesting schedule with a twelve‑month cliff and monthly vesting thereafter. Vesting pauses after 90 days of inactivity. After 180 days of inactivity, 5% of unvested equity returns to the Reserve Pool, and after 365 days all unvested equity returns.</w:t>
      </w:r>
    </w:p>
    <w:p>
      <w:pPr>
        <w:pStyle w:val="Heading2"/>
      </w:pPr>
      <w:r>
        <w:t>5. Contribution Expectations</w:t>
      </w:r>
    </w:p>
    <w:p>
      <w:r>
        <w:t>The Operator agrees to lead execution, coordinate team activities, participate in planning cycles, contribute meaningfully to development and uphold the Contribution Framework. Contributions are evaluated quarterly.</w:t>
      </w:r>
    </w:p>
    <w:p>
      <w:pPr>
        <w:pStyle w:val="Heading2"/>
      </w:pPr>
      <w:r>
        <w:t>6. Inactivity Clause</w:t>
      </w:r>
    </w:p>
    <w:p>
      <w:r>
        <w:t>If the Operator fails to contribute meaningfully for 90 consecutive days, vesting pauses. After 180 days of inactivity, 5% of unvested equity returns to the Reserve Pool; after 365 days all unvested equity returns.</w:t>
      </w:r>
    </w:p>
    <w:p>
      <w:pPr>
        <w:pStyle w:val="Heading2"/>
      </w:pPr>
      <w:r>
        <w:t>7. Signatures</w:t>
      </w:r>
    </w:p>
    <w:p>
      <w:r>
        <w:t>Operator Signature: ____________________________</w:t>
      </w:r>
    </w:p>
    <w:p>
      <w:r>
        <w:t>Date: ______________________</w:t>
      </w:r>
    </w:p>
    <w:p>
      <w:r>
        <w:t>Representative (Project Entity) Signature: ____________________________</w:t>
      </w:r>
    </w:p>
    <w:p>
      <w:r>
        <w:t>Date: 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