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FOUNDER AGREEMENT</w:t>
      </w:r>
    </w:p>
    <w:p>
      <w:r>
        <w:t>This Founder Agreement (“Agreement”) governs the relationship between the project entity and a Founder — an early team member committed to building and scaling the project.</w:t>
      </w:r>
    </w:p>
    <w:p>
      <w:pPr>
        <w:pStyle w:val="Heading2"/>
      </w:pPr>
      <w:r>
        <w:t>1. Parties</w:t>
      </w:r>
    </w:p>
    <w:p>
      <w:r>
        <w:t>Date: ______________________</w:t>
      </w:r>
    </w:p>
    <w:p>
      <w:r>
        <w:t>Project Name: ____________________________</w:t>
      </w:r>
    </w:p>
    <w:p>
      <w:r>
        <w:t>Founder: ____________________________</w:t>
      </w:r>
    </w:p>
    <w:p>
      <w:pPr>
        <w:pStyle w:val="Heading2"/>
      </w:pPr>
      <w:r>
        <w:t>2. Role and Authority</w:t>
      </w:r>
    </w:p>
    <w:p>
      <w:r>
        <w:t>A Founder is an active participant contributing significant effort towards building the project. Founders support strategic decisions, participate in planning and development and uphold fiduciary duties. Authority is shared with Ideators and Operators and is subject to the governance decision structure.</w:t>
      </w:r>
    </w:p>
    <w:p>
      <w:pPr>
        <w:pStyle w:val="Heading2"/>
      </w:pPr>
      <w:r>
        <w:t>3. Equity Allocation and Pool Structure</w:t>
      </w:r>
    </w:p>
    <w:p>
      <w:r>
        <w:t>Founders receive equity from the Main Pool (60% of total equity when Contributors exist, 70% when no Contributors exist). Each Founder is weighted at 0.65 in the allocation formula. Founder equity percentage is calculated as (Main Pool × 0.65) divided by the total weight of all Ideators, Operators and Founders.</w:t>
      </w:r>
    </w:p>
    <w:p>
      <w:r>
        <w:t>Example: With 1 Ideator, 1 Operator and 4 Founders, total weight = 1.15 + 1.00 + 4 × 0.65 = 4.75. Main Pool = 60%. Each Founder receives (60 × 0.65 ÷ 4.75) ≈ 8.21%.</w:t>
      </w:r>
    </w:p>
    <w:p>
      <w:pPr>
        <w:pStyle w:val="Heading2"/>
      </w:pPr>
      <w:r>
        <w:t>4. Vesting Schedule</w:t>
      </w:r>
    </w:p>
    <w:p>
      <w:r>
        <w:t>Founder equity vests over four years with a twelve‑month cliff and monthly vesting thereafter. Vesting pauses after 90 days of inactivity; after 180 days, 5% of unvested equity returns; after 365 days all unvested equity returns.</w:t>
      </w:r>
    </w:p>
    <w:p>
      <w:pPr>
        <w:pStyle w:val="Heading2"/>
      </w:pPr>
      <w:r>
        <w:t>5. Contribution Expectations</w:t>
      </w:r>
    </w:p>
    <w:p>
      <w:r>
        <w:t>Founders agree to actively participate in development, contribute to planning and governance, uphold project values and follow the Contribution Framework. Contributions are evaluated quarterly.</w:t>
      </w:r>
    </w:p>
    <w:p>
      <w:pPr>
        <w:pStyle w:val="Heading2"/>
      </w:pPr>
      <w:r>
        <w:t>6. Inactivity Clause</w:t>
      </w:r>
    </w:p>
    <w:p>
      <w:r>
        <w:t>If a Founder fails to contribute meaningfully for 90 consecutive days, vesting pauses. After 180 days of inactivity, 5% of unvested equity returns to the Reserve Pool; after 365 days all unvested equity returns.</w:t>
      </w:r>
    </w:p>
    <w:p>
      <w:pPr>
        <w:pStyle w:val="Heading2"/>
      </w:pPr>
      <w:r>
        <w:t>7. Signatures</w:t>
      </w:r>
    </w:p>
    <w:p>
      <w:r>
        <w:t>Founder Signature: ____________________________</w:t>
      </w:r>
    </w:p>
    <w:p>
      <w:r>
        <w:t>Date: ______________________</w:t>
      </w:r>
    </w:p>
    <w:p>
      <w:r>
        <w:t>Representative (Project Entity) Signature: ____________________________</w:t>
      </w:r>
    </w:p>
    <w:p>
      <w:r>
        <w:t>Date: 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