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OPERATOR AGREEMENT TEMPLATE</w:t>
      </w:r>
    </w:p>
    <w:p>
      <w:pPr>
        <w:jc w:val="center"/>
      </w:pPr>
      <w:r>
        <w:rPr>
          <w:i/>
          <w:sz w:val="21"/>
        </w:rPr>
        <w:t>(Founding Project Operator / Execution Lead Agreement)</w:t>
      </w:r>
    </w:p>
    <w:p>
      <w:pPr>
        <w:pStyle w:val="Heading1"/>
      </w:pPr>
      <w:r>
        <w:t>1. Parties</w:t>
      </w:r>
    </w:p>
    <w:p>
      <w:r>
        <w:t>This Agreement is entered into on:</w:t>
      </w:r>
    </w:p>
    <w:p>
      <w:r>
        <w:t>Date: ______________________</w:t>
      </w:r>
    </w:p>
    <w:p>
      <w:r>
        <w:t>Project Name: ____________________________</w:t>
      </w:r>
    </w:p>
    <w:p>
      <w:r>
        <w:t>Operator: ____________________________</w:t>
      </w:r>
    </w:p>
    <w:p>
      <w:r>
        <w:t>And the Project Entity (pre-incorporation structure or future registered entity).</w:t>
      </w:r>
    </w:p>
    <w:p>
      <w:pPr>
        <w:pStyle w:val="Heading1"/>
      </w:pPr>
      <w:r>
        <w:t>2. Role and Authority</w:t>
      </w:r>
    </w:p>
    <w:p>
      <w:r>
        <w:t>The Operator is the principal execution lead responsible for converting the project's agreed strategy into coordinated action. The role sits below the Ideator in the equity weighting but above a Founder because it carries continuing responsibility for delivery and coordination.</w:t>
      </w:r>
    </w:p>
    <w:p>
      <w:pPr>
        <w:pStyle w:val="ListBullet"/>
      </w:pPr>
      <w:r>
        <w:t>Lead day-to-day execution and project coordination</w:t>
      </w:r>
    </w:p>
    <w:p>
      <w:pPr>
        <w:pStyle w:val="ListBullet"/>
      </w:pPr>
      <w:r>
        <w:t>Translate strategy into milestones, sprints, and work allocation</w:t>
      </w:r>
    </w:p>
    <w:p>
      <w:pPr>
        <w:pStyle w:val="ListBullet"/>
      </w:pPr>
      <w:r>
        <w:t>Maintain delivery discipline, risk visibility, and decision records</w:t>
      </w:r>
    </w:p>
    <w:p>
      <w:pPr>
        <w:pStyle w:val="ListBullet"/>
      </w:pPr>
      <w:r>
        <w:t>Coordinate Founders and Contributors without overriding reserved governance matters</w:t>
      </w:r>
    </w:p>
    <w:p>
      <w:pPr>
        <w:pStyle w:val="ListBullet"/>
      </w:pPr>
      <w:r>
        <w:t>Participate meaningfully in development and governance</w:t>
      </w:r>
    </w:p>
    <w:p>
      <w:r>
        <w:t>The Operator may make ordinary operational decisions within the agreed roadmap and budget. The Operator may not unilaterally alter equity, incorporate or dissolve the entity, sell major assets, reallocate protected reserves, or override a reserved governance vote.</w:t>
      </w:r>
    </w:p>
    <w:p>
      <w:pPr>
        <w:pStyle w:val="Heading1"/>
      </w:pPr>
      <w:r>
        <w:t>3. Equity Allocation</w:t>
      </w:r>
    </w:p>
    <w:p>
      <w:r>
        <w:t>Pathway Selected: ______________________</w:t>
      </w:r>
    </w:p>
    <w:p>
      <w:r>
        <w:t>Equity Percentage Allocated: ______ %</w:t>
      </w:r>
    </w:p>
    <w:p>
      <w:r>
        <w:t>The project uses three equity pools: a 60% Main Pool, a 10% Contributor Pool, and a 30% Reserve Pool. If there are no Contributors in the selected pathway, the 10% Contributor Pool is reallocated to the Main Pool, producing a 70% Main Pool and 30% Reserve Pool.</w:t>
      </w:r>
    </w:p>
    <w:p>
      <w:r>
        <w:t>The Operator participates in the Main Pool with a role weight of 1.00. The Main Pool is divided among Ideators, Operators, and Founders according to the following weighted formula:</w:t>
      </w:r>
    </w:p>
    <w:p>
      <w:pPr>
        <w:jc w:val="center"/>
      </w:pPr>
      <w:r>
        <w:rPr>
          <w:b/>
        </w:rPr>
        <w:t>Operator Equity = Main Pool × 1.00 ÷ Total Main-Pool Role Weight</w:t>
      </w:r>
    </w:p>
    <w:p>
      <w:r>
        <w:t>Total Main-Pool Role Weight = (1.15 × number of Ideators) + (1.00 × number of Operators) + (0.65 × number of Founders). The Reserve Pool is not allocated to existing team members merely because it is unused.</w:t>
      </w:r>
    </w:p>
    <w:p>
      <w:pPr>
        <w:pStyle w:val="Heading1"/>
      </w:pPr>
      <w:r>
        <w:t>4. Vesting Schedule</w:t>
      </w:r>
    </w:p>
    <w:p>
      <w:pPr>
        <w:pStyle w:val="ListBullet"/>
      </w:pPr>
      <w:r>
        <w:t>4-Year Vesting</w:t>
      </w:r>
    </w:p>
    <w:p>
      <w:pPr>
        <w:pStyle w:val="ListBullet"/>
      </w:pPr>
      <w:r>
        <w:t>12-Month Cliff</w:t>
      </w:r>
    </w:p>
    <w:p>
      <w:pPr>
        <w:pStyle w:val="ListBullet"/>
      </w:pPr>
      <w:r>
        <w:t>Monthly Vesting after Cliff</w:t>
      </w:r>
    </w:p>
    <w:p>
      <w:r>
        <w:t>If the Operator ceases active participation before 12 months, no equity vests. After the cliff, vested equity remains owned. Unvested equity may return to the Reserve Pool upon inactivity or departure.</w:t>
      </w:r>
    </w:p>
    <w:p>
      <w:pPr>
        <w:pStyle w:val="Heading1"/>
      </w:pPr>
      <w:r>
        <w:t>5. Contribution Expectations</w:t>
      </w:r>
    </w:p>
    <w:p>
      <w:r>
        <w:t>Contribution is evaluated quarterly under the Contribution Framework. The participant must provide evidence of meaningful work and remain within the activity thresholds established by that framework.</w:t>
      </w:r>
    </w:p>
    <w:p>
      <w:pPr>
        <w:pStyle w:val="Heading1"/>
      </w:pPr>
      <w:r>
        <w:t>6. Inactivity Policy</w:t>
      </w:r>
    </w:p>
    <w:p>
      <w:pPr>
        <w:pStyle w:val="ListBullet"/>
      </w:pPr>
      <w:r>
        <w:t>90 consecutive days without meaningful contribution → vesting pauses.</w:t>
      </w:r>
    </w:p>
    <w:p>
      <w:pPr>
        <w:pStyle w:val="ListBullet"/>
      </w:pPr>
      <w:r>
        <w:t>180 consecutive days without meaningful contribution → 5% of unvested equity returns to the Reserve Pool.</w:t>
      </w:r>
    </w:p>
    <w:p>
      <w:pPr>
        <w:pStyle w:val="ListBullet"/>
      </w:pPr>
      <w:r>
        <w:t>365 consecutive days without meaningful contribution → remaining unvested equity returns to the Reserve Pool.</w:t>
      </w:r>
    </w:p>
    <w:p>
      <w:r>
        <w:t>Previously vested equity is not revoked solely because of inactivity.</w:t>
      </w:r>
    </w:p>
    <w:p>
      <w:pPr>
        <w:pStyle w:val="Heading1"/>
      </w:pPr>
      <w:r>
        <w:t>7. Performance Acceleration</w:t>
      </w:r>
    </w:p>
    <w:p>
      <w:r>
        <w:t>The participant may qualify for accelerated vesting or bonus equity from an activated Performance Pool under the Performance Acceleration Framework. Performance rewards are additive and do not reduce another participant's vested equity.</w:t>
      </w:r>
    </w:p>
    <w:p>
      <w:pPr>
        <w:pStyle w:val="Heading1"/>
      </w:pPr>
      <w:r>
        <w:t>8. Intellectual Property</w:t>
      </w:r>
    </w:p>
    <w:p>
      <w:r>
        <w:t>All project intellectual property created by the participant in the course of project work belongs to the Project Entity upon incorporation, or is held for transfer to the Project Entity pre-incorporation. The participant assigns the relevant project IP rights in exchange for participation and equity, subject to applicable law.</w:t>
      </w:r>
    </w:p>
    <w:p>
      <w:pPr>
        <w:pStyle w:val="Heading1"/>
      </w:pPr>
      <w:r>
        <w:t>9. Governance Participation</w:t>
      </w:r>
    </w:p>
    <w:p>
      <w:r>
        <w:t>The participant shall act in good faith, participate in governance when required, disclose conflicts of interest, and comply with valid governance votes. Major equity changes, incorporation, asset sales, and other reserved matters require the approvals stated in the Master Governance Charter.</w:t>
      </w:r>
    </w:p>
    <w:p>
      <w:pPr>
        <w:pStyle w:val="Heading1"/>
      </w:pPr>
      <w:r>
        <w:t>10. Conduct Expectations</w:t>
      </w:r>
    </w:p>
    <w:p>
      <w:pPr>
        <w:pStyle w:val="ListBullet"/>
      </w:pPr>
      <w:r>
        <w:t>Act ethically and in good faith</w:t>
      </w:r>
    </w:p>
    <w:p>
      <w:pPr>
        <w:pStyle w:val="ListBullet"/>
      </w:pPr>
      <w:r>
        <w:t>Avoid conflicts of interest or disclose them promptly</w:t>
      </w:r>
    </w:p>
    <w:p>
      <w:pPr>
        <w:pStyle w:val="ListBullet"/>
      </w:pPr>
      <w:r>
        <w:t>Avoid deliberate reputational or financial harm to the project</w:t>
      </w:r>
    </w:p>
    <w:p>
      <w:pPr>
        <w:pStyle w:val="ListBullet"/>
      </w:pPr>
      <w:r>
        <w:t>Respect confidentiality and project IP</w:t>
      </w:r>
    </w:p>
    <w:p>
      <w:r>
        <w:t>Any misconduct review affecting vested rights must follow the formal governance process and due process. Vested equity is not arbitrarily revoked.</w:t>
      </w:r>
    </w:p>
    <w:p>
      <w:pPr>
        <w:pStyle w:val="Heading1"/>
      </w:pPr>
      <w:r>
        <w:t>11. Termination</w:t>
      </w:r>
    </w:p>
    <w:p>
      <w:pPr>
        <w:pStyle w:val="ListBullet"/>
      </w:pPr>
      <w:r>
        <w:t>Voluntary departure</w:t>
      </w:r>
    </w:p>
    <w:p>
      <w:pPr>
        <w:pStyle w:val="ListBullet"/>
      </w:pPr>
      <w:r>
        <w:t>Inactivity beyond defined thresholds</w:t>
      </w:r>
    </w:p>
    <w:p>
      <w:pPr>
        <w:pStyle w:val="ListBullet"/>
      </w:pPr>
      <w:r>
        <w:t>Mutual agreement</w:t>
      </w:r>
    </w:p>
    <w:p>
      <w:pPr>
        <w:pStyle w:val="ListBullet"/>
      </w:pPr>
      <w:r>
        <w:t>Governance-triggered removal in accordance with applicable policy</w:t>
      </w:r>
    </w:p>
    <w:p>
      <w:r>
        <w:t>Termination does not affect vested equity except where a valid written agreement or enforceable formal misconduct provision provides otherwise.</w:t>
      </w:r>
    </w:p>
    <w:p>
      <w:pPr>
        <w:pStyle w:val="Heading1"/>
      </w:pPr>
      <w:r>
        <w:t>12. Dispute Resolution</w:t>
      </w:r>
    </w:p>
    <w:p>
      <w:r>
        <w:t>Disputes shall first be addressed through internal mediation, then the applicable governance vote, and finally arbitration or another dispute-resolution process once a governing jurisdiction is specified at incorporation.</w:t>
      </w:r>
    </w:p>
    <w:p>
      <w:pPr>
        <w:pStyle w:val="Heading1"/>
      </w:pPr>
      <w:r>
        <w:t>13. Acknowledgment and Signatures</w:t>
      </w:r>
    </w:p>
    <w:p>
      <w:r>
        <w:t>The Operator acknowledges that equity is earned over time, participation is required for vesting, the selected Pathway Model governs the initial allocation, and this Agreement is subject to the Master Governance Charter and related governance policies.</w:t>
      </w:r>
    </w:p>
    <w:tbl>
      <w:tblPr>
        <w:tblW w:type="auto" w:w="0"/>
        <w:jc w:val="center"/>
        <w:tblLook w:firstColumn="1" w:firstRow="1" w:lastColumn="0" w:lastRow="0" w:noHBand="0" w:noVBand="1" w:val="04A0"/>
      </w:tblPr>
      <w:tblGrid>
        <w:gridCol w:w="5040"/>
        <w:gridCol w:w="5040"/>
      </w:tblGrid>
      <w:tr>
        <w:tc>
          <w:tcPr>
            <w:tcW w:type="dxa" w:w="5040"/>
          </w:tcPr>
          <w:p>
            <w:r>
              <w:t>Operator Name</w:t>
            </w:r>
          </w:p>
        </w:tc>
        <w:tc>
          <w:tcPr>
            <w:tcW w:type="dxa" w:w="5040"/>
          </w:tcPr>
          <w:p>
            <w:r>
              <w:t>____________________________</w:t>
            </w:r>
          </w:p>
        </w:tc>
      </w:tr>
      <w:tr>
        <w:tc>
          <w:tcPr>
            <w:tcW w:type="dxa" w:w="5040"/>
          </w:tcPr>
          <w:p>
            <w:r>
              <w:t>Operator Signature</w:t>
            </w:r>
          </w:p>
        </w:tc>
        <w:tc>
          <w:tcPr>
            <w:tcW w:type="dxa" w:w="5040"/>
          </w:tcPr>
          <w:p>
            <w:r>
              <w:t>____________________________</w:t>
            </w:r>
          </w:p>
        </w:tc>
      </w:tr>
      <w:tr>
        <w:tc>
          <w:tcPr>
            <w:tcW w:type="dxa" w:w="5040"/>
          </w:tcPr>
          <w:p>
            <w:r>
              <w:t>Project Representative</w:t>
            </w:r>
          </w:p>
        </w:tc>
        <w:tc>
          <w:tcPr>
            <w:tcW w:type="dxa" w:w="5040"/>
          </w:tcPr>
          <w:p>
            <w:r>
              <w:t>____________________________</w:t>
            </w:r>
          </w:p>
        </w:tc>
      </w:tr>
      <w:tr>
        <w:tc>
          <w:tcPr>
            <w:tcW w:type="dxa" w:w="5040"/>
          </w:tcPr>
          <w:p>
            <w:r>
              <w:t>Date</w:t>
            </w:r>
          </w:p>
        </w:tc>
        <w:tc>
          <w:tcPr>
            <w:tcW w:type="dxa" w:w="5040"/>
          </w:tcPr>
          <w:p>
            <w:r>
              <w:t>____________________________</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