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74B5"/>
          <w:sz w:val="24"/>
        </w:rPr>
        <w:t>ZAŁĄCZNIK NR 1 DO SPECYFIKACJI WARUNKÓW ZAMÓWIENIA</w:t>
      </w:r>
    </w:p>
    <w:p>
      <w:pPr>
        <w:jc w:val="center"/>
      </w:pPr>
      <w:r>
        <w:rPr>
          <w:b/>
          <w:color w:val="1F3B5C"/>
          <w:sz w:val="44"/>
        </w:rPr>
        <w:t>OPIS PRZEDMIOTU ZAMÓWIENIA</w:t>
      </w:r>
    </w:p>
    <w:p>
      <w:pPr>
        <w:jc w:val="center"/>
      </w:pPr>
      <w:r>
        <w:rPr>
          <w:b w:val="0"/>
          <w:sz w:val="28"/>
        </w:rPr>
        <w:t>Dostawa i wdrożenie rozproszonej platformy sztucznej inteligencji</w:t>
        <w:br/>
        <w:t>działającej w infrastrukturze Zamawiającego (on-premise)</w:t>
      </w:r>
    </w:p>
    <w:p/>
    <w:p>
      <w:pPr>
        <w:jc w:val="center"/>
      </w:pPr>
      <w:r>
        <w:rPr>
          <w:b w:val="0"/>
          <w:sz w:val="22"/>
        </w:rPr>
        <w:t>wraz z modułami: uruchamiania i trenowania modeli AI, budowy przepływów przetwarzania, analizy obrazu, obsługi urządzeń mobilnych i robotów oraz zapewnienia zgodności z RODO</w:t>
      </w:r>
    </w:p>
    <w:p>
      <w:r>
        <w:br w:type="page"/>
      </w:r>
    </w:p>
    <w:p>
      <w:pPr>
        <w:pStyle w:val="Heading1"/>
      </w:pPr>
      <w:r>
        <w:t>Spis treści</w:t>
      </w:r>
    </w:p>
    <w:p>
      <w:fldSimple w:instr="TOC \o &quot;1-2&quot; \h \z \u">
        <w:r>
          <w:t>Spis treści — kliknij prawym przyciskiem i wybierz „Aktualizuj pole".</w:t>
        </w:r>
      </w:fldSimple>
    </w:p>
    <w:p>
      <w:r>
        <w:br w:type="page"/>
      </w:r>
    </w:p>
    <w:p>
      <w:pPr>
        <w:pStyle w:val="Heading1"/>
      </w:pPr>
      <w:r>
        <w:t>1. Przedmiot zamówienia</w:t>
      </w:r>
    </w:p>
    <w:p>
      <w:r>
        <w:rPr>
          <w:b w:val="0"/>
        </w:rPr>
        <w:t>Przedmiotem zamówienia jest dostawa, instalacja i wdrożenie oprogramowania — rozproszonej platformy sztucznej inteligencji (dalej: „System"), przeznaczonej do uruchamiania, trenowania i udostępniania modeli AI w całości w infrastrukturze Zamawiającego, bez konieczności przekazywania danych do usług chmurowych podmiotów trzecich.</w:t>
      </w:r>
    </w:p>
    <w:p>
      <w:r>
        <w:rPr>
          <w:b w:val="0"/>
        </w:rPr>
        <w:t>Zakres przedmiotu zamówienia obejmuje:</w:t>
      </w:r>
    </w:p>
    <w:p>
      <w:pPr>
        <w:pStyle w:val="ListBullet"/>
        <w:spacing w:after="40"/>
      </w:pPr>
      <w:r>
        <w:t>dostawę oprogramowania Systemu wraz z licencjami dla wszystkich wspieranych platform sprzętowych;</w:t>
      </w:r>
    </w:p>
    <w:p>
      <w:pPr>
        <w:pStyle w:val="ListBullet"/>
        <w:spacing w:after="40"/>
      </w:pPr>
      <w:r>
        <w:t>instalację i konfigurację Systemu w środowisku Zamawiającego (serwery GPU, stacje robocze, urządzenia mobilne);</w:t>
      </w:r>
    </w:p>
    <w:p>
      <w:pPr>
        <w:pStyle w:val="ListBullet"/>
        <w:spacing w:after="40"/>
      </w:pPr>
      <w:r>
        <w:t>dostarczenie dokumentacji technicznej, administracyjnej i użytkownika w języku polskim;</w:t>
      </w:r>
    </w:p>
    <w:p>
      <w:pPr>
        <w:pStyle w:val="ListBullet"/>
        <w:spacing w:after="40"/>
      </w:pPr>
      <w:r>
        <w:t>przeprowadzenie instruktażu dla administratorów i użytkowników kluczowych;</w:t>
      </w:r>
    </w:p>
    <w:p>
      <w:pPr>
        <w:pStyle w:val="ListBullet"/>
        <w:spacing w:after="40"/>
      </w:pPr>
      <w:r>
        <w:t>świadczenie usług gwarancyjnych i wsparcia technicznego w okresie wskazanym w umowie.</w:t>
      </w:r>
    </w:p>
    <w:p>
      <w:r>
        <w:rPr>
          <w:b w:val="0"/>
        </w:rPr>
        <w:t>Wszystkie wymagania określone w rozdziałach 3–16 stanowią wymagania obligatoryjne, chyba że w treści wymagania wprost wskazano inaczej. Wykonawca potwierdza spełnienie każdego wymagania w kolumnie „Spełnia (TAK/NIE)". Wskazane w dokumencie nazwy standardów i formatów (np. TLS 1.3, Ed25519, GGUF, ONNX) określają wymagany poziom zgodności technicznej; tam, gdzie przywołano przykładowe rozwiązania, dopuszcza się rozwiązania równoważne.</w:t>
      </w:r>
    </w:p>
    <w:p>
      <w:pPr>
        <w:pStyle w:val="Heading1"/>
      </w:pPr>
      <w:r>
        <w:t>2. Definicje i pojęcia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</w:tcPr>
          <w:p>
            <w:r>
              <w:rPr>
                <w:b/>
                <w:sz w:val="19"/>
              </w:rPr>
              <w:t>Węzeł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pojedyncza instancja Systemu uruchomiona na urządzeniu (serwer, komputer, urządzenie mobilne), posiadająca własną tożsamość kryptograficzną i pełną funkcjonalność platformy.</w:t>
            </w:r>
          </w:p>
        </w:tc>
      </w:tr>
      <w:tr>
        <w:tc>
          <w:tcPr>
            <w:tcW w:type="dxa" w:w="2381"/>
            <w:shd w:val="clear" w:fill="F2F6FA"/>
          </w:tcPr>
          <w:p>
            <w:r>
              <w:rPr>
                <w:b/>
                <w:sz w:val="19"/>
              </w:rPr>
              <w:t>Sieć węzłów (mesh)</w:t>
            </w:r>
          </w:p>
        </w:tc>
        <w:tc>
          <w:tcPr>
            <w:tcW w:type="dxa" w:w="7087"/>
            <w:shd w:val="clear" w:fill="F2F6FA"/>
          </w:tcPr>
          <w:p>
            <w:r>
              <w:rPr>
                <w:sz w:val="19"/>
              </w:rPr>
              <w:t>zbiór sparowanych ze sobą Węzłów komunikujących się bezpośrednio (peer-to-peer) z możliwością przekazywania ruchu przez węzły pośredniczące.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9"/>
              </w:rPr>
              <w:t>Klaster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nazwana grupa Węzłów traktowana jako jedna jednostka obsługi zapytań, z polityką równoważenia obciążenia i przełączania awaryjnego.</w:t>
            </w:r>
          </w:p>
        </w:tc>
      </w:tr>
      <w:tr>
        <w:tc>
          <w:tcPr>
            <w:tcW w:type="dxa" w:w="2381"/>
            <w:shd w:val="clear" w:fill="F2F6FA"/>
          </w:tcPr>
          <w:p>
            <w:r>
              <w:rPr>
                <w:b/>
                <w:sz w:val="19"/>
              </w:rPr>
              <w:t>Silnik inferencji</w:t>
            </w:r>
          </w:p>
        </w:tc>
        <w:tc>
          <w:tcPr>
            <w:tcW w:type="dxa" w:w="7087"/>
            <w:shd w:val="clear" w:fill="F2F6FA"/>
          </w:tcPr>
          <w:p>
            <w:r>
              <w:rPr>
                <w:sz w:val="19"/>
              </w:rPr>
              <w:t>oprogramowanie wykonujące obliczenia modelu AI (LLM, STT, TTS, wizja, osadzenia).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9"/>
              </w:rPr>
              <w:t>Model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model sztucznej inteligencji uruchamiany przez Silnik inferencji lokalnie albo udostępniany przez zewnętrzne API.</w:t>
            </w:r>
          </w:p>
        </w:tc>
      </w:tr>
      <w:tr>
        <w:tc>
          <w:tcPr>
            <w:tcW w:type="dxa" w:w="2381"/>
            <w:shd w:val="clear" w:fill="F2F6FA"/>
          </w:tcPr>
          <w:p>
            <w:r>
              <w:rPr>
                <w:b/>
                <w:sz w:val="19"/>
              </w:rPr>
              <w:t>Alias modelu</w:t>
            </w:r>
          </w:p>
        </w:tc>
        <w:tc>
          <w:tcPr>
            <w:tcW w:type="dxa" w:w="7087"/>
            <w:shd w:val="clear" w:fill="F2F6FA"/>
          </w:tcPr>
          <w:p>
            <w:r>
              <w:rPr>
                <w:sz w:val="19"/>
              </w:rPr>
              <w:t>stabilna nazwa logiczna wskazująca model podstawowy oraz uporządkowaną listę modeli zapasowych (fallback).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9"/>
              </w:rPr>
              <w:t>Przepływ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zdefiniowany przez użytkownika graf skierowany (DAG) typowanych bloków przetwarzania, budowany w edytorze wizualnym i wykonywany przez silnik przepływów.</w:t>
            </w:r>
          </w:p>
        </w:tc>
      </w:tr>
      <w:tr>
        <w:tc>
          <w:tcPr>
            <w:tcW w:type="dxa" w:w="2381"/>
            <w:shd w:val="clear" w:fill="F2F6FA"/>
          </w:tcPr>
          <w:p>
            <w:r>
              <w:rPr>
                <w:b/>
                <w:sz w:val="19"/>
              </w:rPr>
              <w:t>Dodatek (wtyczka)</w:t>
            </w:r>
          </w:p>
        </w:tc>
        <w:tc>
          <w:tcPr>
            <w:tcW w:type="dxa" w:w="7087"/>
            <w:shd w:val="clear" w:fill="F2F6FA"/>
          </w:tcPr>
          <w:p>
            <w:r>
              <w:rPr>
                <w:sz w:val="19"/>
              </w:rPr>
              <w:t>rozszerzenie Systemu uruchamiane w izolowanym środowisku (sandbox), dostarczające narzędzia, integracje, bloki Przepływów i własne panele interfejsu.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9"/>
              </w:rPr>
              <w:t>Agent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skonfigurowany byt AI o określonym modelu, zestawie narzędzi, umiejętności i limitów, wykonujący zadania wieloetapowe.</w:t>
            </w:r>
          </w:p>
        </w:tc>
      </w:tr>
      <w:tr>
        <w:tc>
          <w:tcPr>
            <w:tcW w:type="dxa" w:w="2381"/>
            <w:shd w:val="clear" w:fill="F2F6FA"/>
          </w:tcPr>
          <w:p>
            <w:r>
              <w:rPr>
                <w:b/>
                <w:sz w:val="19"/>
              </w:rPr>
              <w:t>Rejestr synchronizacji</w:t>
            </w:r>
          </w:p>
        </w:tc>
        <w:tc>
          <w:tcPr>
            <w:tcW w:type="dxa" w:w="7087"/>
            <w:shd w:val="clear" w:fill="F2F6FA"/>
          </w:tcPr>
          <w:p>
            <w:r>
              <w:rPr>
                <w:sz w:val="19"/>
              </w:rPr>
              <w:t>trwały, podpisywany kryptograficznie dziennik operacji (log append-only z łańcuchem skrótów) służący do replikacji stanu między Węzłami.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9"/>
              </w:rPr>
              <w:t>RBAC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kontrola dostępu oparta na rolach (Role-Based Access Control).</w:t>
            </w:r>
          </w:p>
        </w:tc>
      </w:tr>
      <w:tr>
        <w:tc>
          <w:tcPr>
            <w:tcW w:type="dxa" w:w="2381"/>
            <w:shd w:val="clear" w:fill="F2F6FA"/>
          </w:tcPr>
          <w:p>
            <w:r>
              <w:rPr>
                <w:b/>
                <w:sz w:val="19"/>
              </w:rPr>
              <w:t>API zgodne z OpenAI</w:t>
            </w:r>
          </w:p>
        </w:tc>
        <w:tc>
          <w:tcPr>
            <w:tcW w:type="dxa" w:w="7087"/>
            <w:shd w:val="clear" w:fill="F2F6FA"/>
          </w:tcPr>
          <w:p>
            <w:r>
              <w:rPr>
                <w:sz w:val="19"/>
              </w:rPr>
              <w:t>interfejs HTTP zgodny ze specyfikacją publicznego API OpenAI w zakresie chat completions, audio i osadzeń (embeddings).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9"/>
              </w:rPr>
              <w:t>DSAR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obsługa wniosków osób, których dane dotyczą (Data Subject Access Request) w rozumieniu RODO.</w:t>
            </w:r>
          </w:p>
        </w:tc>
      </w:tr>
      <w:tr>
        <w:tc>
          <w:tcPr>
            <w:tcW w:type="dxa" w:w="2381"/>
            <w:shd w:val="clear" w:fill="F2F6FA"/>
          </w:tcPr>
          <w:p>
            <w:r>
              <w:rPr>
                <w:b/>
                <w:sz w:val="19"/>
              </w:rPr>
              <w:t>E-stop</w:t>
            </w:r>
          </w:p>
        </w:tc>
        <w:tc>
          <w:tcPr>
            <w:tcW w:type="dxa" w:w="7087"/>
            <w:shd w:val="clear" w:fill="F2F6FA"/>
          </w:tcPr>
          <w:p>
            <w:r>
              <w:rPr>
                <w:sz w:val="19"/>
              </w:rPr>
              <w:t>funkcja natychmiastowego, bezwarunkowego zatrzymania urządzenia wykonawczego (robota).</w:t>
            </w:r>
          </w:p>
        </w:tc>
      </w:tr>
    </w:tbl>
    <w:p/>
    <w:p>
      <w:pPr>
        <w:pStyle w:val="Heading1"/>
      </w:pPr>
      <w:r>
        <w:t>3. Wymagania ogólne i architektoniczne</w:t>
      </w:r>
    </w:p>
    <w:p>
      <w:r>
        <w:rPr>
          <w:b w:val="0"/>
        </w:rPr>
        <w:t>System musi stanowić spójną platformę instalowaną w całości w środowisku Zamawiającego. Poniższe wymagania określają ogólne ramy architektury rozwiązania.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OG-01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działać w całości w infrastrukturze Zamawiającego (on-premise), bez wymogu posiadania konta w usłudze chmurowej producenta oraz bez przekazywania danych Zamawiającego poza jego infrastrukturę w ramach standardowego działania.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OG-02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być dostarczony jako jednolite oprogramowanie działające natywnie co najmniej na systemach: Linux (x86_64), macOS (Apple Silicon), Windows, Android oraz iOS.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OG-03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Każde urządzenie z zainstalowanym Systemem musi pełnić rolę pełnoprawnego Węzła: posiadać lokalny silnik inferencji, silnik przepływów, mechanizm rozszerzeń, magazyn danych i interfejs użytkownika — urządzenie mobilne nie może być wyłącznie „cienkim klientem".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OG-04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zachowywać pełną funkcjonalność lokalną (czat z modelem lokalnym, przepływy, rozpoznawanie i synteza mowy) przy całkowitym braku dostępu do sieci (praca offline).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OG-05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Interfejs administracyjny i użytkownika musi być dostępny przez przeglądarkę internetową (aplikacja webowa) bez instalacji dodatkowego oprogramowania klienckiego; dodatkowo System musi udostępniać natywną aplikację desktop oraz natywne aplikacje mobilne.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OG-06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Komunikacja interfejsu webowego z Systemem musi odbywać się z użyciem wydajnego protokołu binarnego (np. CBOR) w czasie rzeczywistym (strumieniowanie dwukierunkowe); interfejs REST może być stosowany wyłącznie do integracji z systemami zewnętrznymi.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OG-07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wspierać akcelerację GPU co najmniej w standardach: NVIDIA CUDA, AMD ROCm, Vulkan oraz Apple Metal, z automatycznym wykrywaniem dostępnego sprzętu (CPU/GPU/RAM/VRAM) i doborem wariantu uruchomienia.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OG-08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umożliwiać uruchamianie usług towarzyszących zarówno w kontenerach (np. zgodnych z Docker), jak i natywnie (bez konteneryzacji), w tym na urządzeniach bez środowiska kontenerowego.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OG-09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Interfejs użytkownika musi być dostępny co najmniej w języku polskim i angielskim; wymagane jest wsparcie mechanizmu tłumaczeń umożliwiające dodawanie kolejnych języków.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OG-10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Oprogramowanie musi być objęte licencją umożliwiającą Zamawiającemu bezterminowe korzystanie na nieograniczonej liczbie własnych urządzeń albo licencją otwartą (open source); model licencjonowania nie może uzależniać działania Systemu od łączności z serwerami licencyjnymi producenta.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4. Sieć węzłów i komunikacja rozproszona</w:t>
      </w:r>
    </w:p>
    <w:p>
      <w:r>
        <w:rPr>
          <w:b w:val="0"/>
        </w:rPr>
        <w:t>System musi tworzyć prywatną, szyfrowaną sieć urządzeń Zamawiającego o architekturze peer-to-peer, bez pojedynczego punktu awarii.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MSH-01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Węzły muszą wykrywać się automatycznie w sieci lokalnej oraz łączyć się przez Internet bez konieczności ręcznej konfiguracji przekierowań portów (mechanizmy typu NAT traversal / relay).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MSH-02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Komunikacja pomiędzy Węzłami musi odbywać się po protokole transportowym o niskich opóźnieniach z wbudowanym szyfrowaniem (np. QUIC z TLS 1.3).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MSH-03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Dołączenie nowego Węzła do sieci musi wymagać jawnego parowania z potwierdzeniem przez człowieka, co najmniej metodą kodu PIN oraz metodą kodu QR (dla urządzeń mobilnych), z kryptograficzną weryfikacją tożsamości obu stron.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MSH-04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Każdy Węzeł musi posiadać trwałą tożsamość kryptograficzną oparta na kluczach asymetrycznych (np. Ed25519); relacja zaufania musi być odwoływalna przez administratora.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MSH-05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Zapytanie skierowane do dowolnego Węzła musi móc zostać obsłużone przez usługę działającą na innym Węźle sieci — trasowanie musi być przezroczyste dla użytkownika i aplikacji, w tym z przekazywaniem przez węzły pośrednie (multi-hop) dla par węzłów bez bezpośredniej łączności.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MSH-06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na bieżąco monitorować dostępność i parametry Węzłów (obciążenie CPU/RAM/GPU/VRAM, aktywne modele, opóźnienia sieci) i prezentować je w interfejsie administracyjnym wraz z graficzną mapą topologii sieci.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MSH-07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umożliwiać samodzielne hostowanie infrastruktury pośredniczącej (relay) przez Zamawiającego, tak aby ruch węzłów nie musiał korzystać z serwerów przekaźnikowych podmiotów trzecich.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MSH-08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obsługiwać automatyczne ponawianie połączeń i odtwarzanie sesji po przerwach łączności bez utraty danych zaakceptowanych do przetwarzania.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5. Synchronizacja danych między węzłami</w:t>
      </w:r>
    </w:p>
    <w:p>
      <w:r>
        <w:rPr>
          <w:b w:val="0"/>
        </w:rPr>
        <w:t>Stan konfiguracyjny Systemu musi być replikowany pomiędzy Węzłami w sposób zdecentralizowany, odporny na przerwy łączności i weryfikowalny kryptograficznie.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SYN-01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replikować pomiędzy uprawnionymi Węzłami co najmniej: definicje Przepływów, ustawienia platformy, tożsamości i uprawnienia użytkowników (RBAC), konfigurację dodatków oraz dane dodatków wskazane do synchronizacji.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SYN-02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Mechanizm synchronizacji musi być oparty na trwałym dzienniku operacji (append-only) z łańcuchem skrótów kryptograficznych i podpisami, umożliwiającym wykrycie modyfikacji lub sfałszowania historii operacji.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SYN-03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Synchronizacja musi działać w modelu offline-first: Węzeł odłączony od sieci gromadzi zmiany lokalnie i po odzyskaniu łączności uzgadnia stan (mechanizm skrzynki nadawczej/odbiorczej, kursory per węzeł, potwierdzenia dostarczenia).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SYN-04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Porządkowanie zdarzeń w systemie rozproszonym musi wykorzystywać zegary logiczne/hybrydowe zapewniające spójny, deterministyczny porządek operacji pomiędzy węzłami.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SYN-05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Zakres synchronizacji musi być sterowany politykami: administrator określa, które zasoby są replikowane na które Węzły; Węzeł może otrzymać wyłącznie zasoby, do których ma nadane uprawnienia (synchronizacja bramkowana uprawnieniami).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SYN-06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Sekrety (np. tokeny dostępowe) mogą być synchronizowane wyłącznie na podstawie jawnej listy dozwolonych typów sekretów i muszą być przy przekazaniu szyfrowane indywidualnie dla węzła docelowego.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SYN-07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wspierać migawki (snapshoty) i kompaktowanie dziennika operacji, aby rozmiar danych synchronizacyjnych nie rósł nieograniczenie, oraz szybkie zasilenie nowego Węzła stanem początkowym (baseline).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SYN-08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Dane czysto lokalne o charakterze operacyjnym (np. dzienniki wykonań, log audytu danego węzła) nie mogą być domyślnie replikowane; ich ewentualna agregacja musi być świadomą decyzją administratora.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SYN-09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Wymiana danych synchronizacyjnych musi odbywać się w formacie binarnym po szyfrowanym kanale węzeł–węzeł i podlegać tym samym mechanizmom zaufania co pozostała komunikacja sieci.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6. Klastry obliczeniowe i równoważenie obciążenia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KLA-01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umożliwiać grupowanie Węzłów w nazwane Klastry obsługujące wspólnie zapytania do modeli, z konfigurowalną strategią równoważenia obciążenia i polityką przełączania awaryjnego (failover).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KLA-02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Kreator Klastra musi umożliwiać pomiar rzeczywistej przepustowości i opóźnień pomiędzy węzłami kandydującymi (test łączności na żywo) przed zatwierdzeniem konfiguracji.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KLA-03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prezentować widok Klastra obejmujący: stan i zasoby poszczególnych węzłów, macierz wyników testów łączności, modele współdzielone w klastrze oraz diagram połączeń.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KLA-04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automatycznie wykrywać i konfigurować dostępne mechanizmy transportu o wysokiej przepustowości pomiędzy węzłami klastra (np. RDMA/RoCE), jeżeli sprzęt je udostępnia.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KLA-05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Awaria pojedynczego węzła Klastra nie może powodować przerwania obsługi zapytań kierowanych do Klastra, o ile pozostałe węzły dysponują wymaganym modelem.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7. Zarządzanie modelami i silnikami inferencji</w:t>
      </w:r>
    </w:p>
    <w:p>
      <w:r>
        <w:rPr>
          <w:b w:val="0"/>
        </w:rPr>
        <w:t>System musi zapewniać pełny cykl życia modeli AI: od wyszukania i pobrania, przez wdrożenie na wybranym urządzeniu, po monitorowanie i wycofanie.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MOD-01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umożliwiać uruchamianie dużych modeli językowych (LLM) lokalnie na CPU i GPU, w tym modeli w formacie skwantyzowanym (np. GGUF), oraz na układach Apple Silicon z akceleracją Metal.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MOD-02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wspierać wdrażanie zewnętrznych serwerów inferencji jako usług zarządzanych (co najmniej dwa niezależne, powszechnie stosowane serwery inferencji GPU klasy produkcyjnej, np. vLLM, SGLang lub równoważne) — z poziomu katalogu usług w interfejsie.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MOD-03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umożliwiać podłączanie zewnętrznych dostawców modeli przez API (co najmniej: interfejs zgodny z OpenAI oraz interfejs zgodny z Anthropic Messages), z kluczami przechowywanymi jako sekrety.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MOD-04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obsługiwać modele rozpoznawania mowy (STT) i syntezy mowy (TTS) uruchamiane lokalnie, w tym co najmniej jeden silnik STT i jeden silnik TTS działający na urządzeniu mobilnym bez dostępu do sieci; wymagane wsparcie języka polskiego w STT i TTS.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MOD-05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obsługiwać modele osadzeń (embeddings) oraz modele ponownego rankingu (reranker), w wariantach dla serwera GPU i urządzeń słabszych (CPU/mobilnych).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MOD-06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obsługiwać lokalne modele wizji komputerowej co najmniej w zakresie: detekcji obiektów, detekcji i analizy twarzy, estymacji pozy sylwetki, estymacji głębi oraz OCR (w tym OCR dokumentów i tablic rejestracyjnych).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MOD-07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Kreator wdrożenia modelu musi: wykrywać sprzęt węzła docelowego, umożliwiać wyszukiwanie modeli w publicznych repozytoriach (np. Hugging Face Hub), szacować wymaganą pamięć VRAM przed uruchomieniem oraz umożliwiać wybór konkretnych kart GPU dla wdrożenia.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MOD-08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Wdrożenie usługi musi być możliwe w trybie kontenerowym oraz natywnym (bez Dockera); System musi strumieniowo prezentować postęp i logi wdrożenia.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MOD-09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utrzymywać spójny, obejmujący całą sieć węzłów rejestr modeli: każdy węzeł widzi modele dostępne na pozostałych węzłach wraz z ich parametrami (silnik, rozmiar, lokalizacja, stan).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MOD-10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Lokalny silnik LLM musi wspierać jednoczesną obsługę wielu zapytań (continuous batching) oraz techniki przyspieszania dekodowania (dekodowanie spekulacyjne); pojedynczy powolny lub porzucony odbiorca strumienia nie może blokować pozostałych zapytań.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MOD-11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rozliczanie wydajności per zapytanie (tokeny/s, czas do pierwszego tokenu, liczba tokenów wejścia/wyjścia).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8. Aliasy modeli i routing zapytań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RTG-01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umożliwiać definiowanie Aliasów modeli: stabilna nazwa wskazuje model podstawowy oraz uporządkowaną listę modeli zapasowych.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RTG-02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Rozwiązanie Aliasu musi następować w chwili zapytania na podstawie faktycznej osiągalności modeli: preferowany model lokalny, następnie modele zdalne; przy niepowodzeniu transportowym System przechodzi automatycznie do kolejnej pozycji listy.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RTG-03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Zmiana dostępności modeli (np. utrata łączności z serwerem) nie może wymagać żadnej zmiany po stronie aplikacji klienckich korzystających z Aliasu.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RTG-04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Każde rozwiązanie Aliasu musi być odnotowane w logu audytu (jaki cel wybrano, czy nastąpiło przełączenie awaryjne).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RTG-05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umożliwiać publikowanie Przepływu pod nazwą modelu („przepływ jako model"), tak aby aplikacje zewnętrzne mogły wywoływać złożone potoki przetwarzania przez standardowe API modelu.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9. Interfejs użytkownika: czat, asystent głosowy, aplikacje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UI-01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aplikację czatu z modelami AI: wybór modelu/aliasu, strumieniowanie odpowiedzi token po tokenie, historia rozmów, obsługa załączników zgodnie z możliwościami modelu.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UI-02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udostępniać tryb głosowy czatu realizowany w całości w infrastrukturze Zamawiającego: detekcja mowy (VAD) po stronie klienta, rozpoznawanie mowy, odpowiedź LLM strumieniowana zdanie po zdaniu do syntezy mowy, z możliwością przerwania wypowiedzi asystenta głosem (barge-in).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UI-03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aplikacje użytkownika końcowego co najmniej: notatki osobiste, tłumacz tekstu oparty o modele Systemu oraz ekran startowy z kafelkami dostępnych aplikacji zależnie od uprawnień.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UI-04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Interfejs musi rozróżniać role: administrator otrzymuje pełną konsolę zarządzania, użytkownik końcowy — wyłącznie aplikacje, do których ma uprawnienia.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UI-05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Interfejs webowy musi być zbudowany ze spójnego systemu komponentów wielokrotnego użytku i działać poprawnie na ekranach komputerów oraz urządzeń mobilnych (responsywność).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UI-06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Utrata połączenia interfejsu z Węzłem musi być sygnalizowana użytkownikowi, a interfejs musi automatycznie wznawiać sesję po odzyskaniu łączności.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10. Silnik przepływów (workflow AI)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FLW-01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wizualny edytor Przepływów (graf typowanych bloków) działający w przeglądarce, bez konieczności pisania kodu, z paletą bloków, konfiguracją parametrów bloku, walidacją przy zapisie, autozapisem i historią wersji.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FLW-02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Paleta bloków musi obejmować co najmniej: wyzwalacze (ręczne, interwałowe, zdarzeniowe), LLM (w tym wizyjne), STT, TTS, osadzenia, reranker, pamięć/kontekst rozmowy, warunki, pętle i mapowanie po kolekcji, podprzepływy, łączenie wyników, filtr danych wrażliwych (PII), wyjście.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FLW-03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Paleta bloków musi obejmować bloki przetwarzania dokumentów: parsowanie dokumentów biurowych i PDF, OCR, wykrywanie struktury stron i tabel, dzielenie na fragmenty (chunking) i indeksowanie wektorowe na potrzeby RAG.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FLW-04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wspierać techniki RAG co najmniej w zakresie: wyszukiwania wektorowego, wyszukiwania hybrydowego z rerankingiem oraz wyszukiwania wielokrokowego / grafowego (GraphRAG lub równoważne).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FLW-05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Przepływy muszą wykonywać się w dwóch trybach: pełnym (bloki uruchamiane równolegle w miarę gotowości wejść) oraz strumieniowym (odpowiedź LLM przekazywana na bieżąco).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FLW-06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Dodatki muszą móc dostarczać własne bloki Przepływów, widoczne w palecie na równi z blokami wbudowanymi.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FLW-07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rejestrować historię wykonań Przepływów wraz z czasem, statusem i zużyciem zasobów, oraz umożliwiać testowe uruchomienie Przepływu z poziomu edytora.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11. Agenci AI, umiejętności i narzędzia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AGT-01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umożliwiać definiowanie Agentów: model/alias, lista dozwolonych narzędzi, przypisane umiejętności, limity (np. liczba kroków, budżet tokenów), flagi aktywności.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AGT-02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Narzędzia Agenta muszą pochodzić z katalogu obejmującego funkcje wbudowane oraz narzędzia dostarczane przez dodatki; dostępność narzędzia dla Agenta musi wynikać z przecięcia listy narzędzi Agenta i uprawnień nadanych w Systemie.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AGT-03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prowadzić rejestr przebiegów Agentów (runs) z możliwością wglądu w kroki, użyte narzędzia i wyniki.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AGT-04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udostępniać rejestr umiejętności (skills) wielokrotnego użytku, z rozróżnieniem umiejętności dostarczanych przez dodatki (tylko do odczytu, z możliwością utworzenia edytowalnej kopii) i umiejętności własnych użytkowników.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AGT-05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wspierać protokół MCP (Model Context Protocol) w roli klienta, umożliwiając podłączanie zewnętrznych serwerów narzędziowych i udostępnianie ich narzędzi Agentom, z zachowaniem zasad zatwierdzania reguł sieciowych.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AGT-06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udostępniać centralny rejestr promptów systemowych z identyfikatorami, umożliwiający ich ponowne użycie pomiędzy zapytaniami (w tym optymalizację pamięci podręcznej silników).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12. Trenowanie modeli, AutoML i anotacja danych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TRN-01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moduł prowadzenia treningu modeli (studio ML) obsługujący co najmniej typy projektów: dostrajanie LLM, dostrajanie modeli wizji/audio, rozpoznawanie obrazów (detekcja/klasyfikacja), uczenie na danych tabelarycznych z detekcją anomalii oraz destylację wiedzy (nauczyciel–uczeń).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TRN-02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Dostrajanie LLM musi wspierać metody pełnego treningu oraz metod parametrycznie oszczędnych (co najmniej LoRA i QLoRA) oraz cele treningowe co najmniej SFT i DPO; przed uruchomieniem System musi szacować wymaganą pamięć GPU dla wybranej metody.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TRN-03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Jako model bazowy musi być możliwe wskazanie modelu z listy predefiniowanej lub dowolnego publicznego repozytorium modeli.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TRN-04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Przebieg treningu musi być prezentowany na żywo (krzywa straty, metryki, logi), a zadania treningowe muszą wykonywać się asynchronicznie jako usługi na wybranym węźle GPU — moc obliczeniowa może pochodzić z innego węzła niż stacja użytkownika.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TRN-05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Moduł AutoML dla danych tabelarycznych musi automatycznie trenować i porównywać wiele modeli, prezentując ranking (leaderboard) z metrykami; wymagane wsparcie klasyfikacji, regresji i detekcji anomalii, z automatycznym profilowaniem kolumn po wczytaniu pliku.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TRN-06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Moduł destylacji musi umożliwiać generowanie zbiorów uczących (pary pytanie–odpowiedź, trójki preferencji) przy pomocy modelu-nauczyciela.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TRN-07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narzędzie anotacji obrazów (etykiety, ramki) z funkcją wstępnego oznaczania istniejącym modelem (pre-labeling) i eksportem w standardowym formacie (np. COCO).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TRN-08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Wytrenowane modele muszą być wersjonowane w rejestrze modeli (metryki, historia) i eksportowalne do formatów wdrożeniowych co najmniej GGUF i ONNX, z możliwością bezpośredniego wdrożenia na węzły Systemu.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13. Benchmarking modeli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BEN-01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moduł benchmarkingu wydajności modeli, obejmujący modele lokalne, usługi na innych węzłach sieci oraz zewnętrzne API.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BEN-02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Kreator benchmarku musi umożliwiać wybór celów (modeli/usług) i zestawu testów; przebieg testu musi być prezentowany na żywo.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BEN-03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Mierzone metryki muszą obejmować co najmniej: przepustowość (tokeny/s), czas do pierwszego tokenu (TTFT), rozbicie na fazę przetwarzania wejścia i generacji, opóźnienia z percentylami (co najmniej p50 i p99) oraz zachowanie przy zapytaniach współbieżnych.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BEN-04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przechowywać wyniki benchmarków i umożliwiać porównanie wielu przebiegów obok siebie (tabele i wykresy).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14. Analiza obrazu z kamer (wideo)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WIZ-01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przyjmować strumienie wideo co najmniej ze źródeł: RTSP, ONVIF i kamer lokalnych, oraz z kamer sparowanych urządzeń mobilnych.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WIZ-02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wykonywać na klatkach wideo modele wizyjne (detekcja obiektów, twarze, poza, emocje, głębia, OCR) lokalnie na węźle, bez wysyłania obrazu poza infrastrukturę Zamawiającego.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WIZ-03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Wyniki detekcji muszą być prezentowane w interfejsie jako nakładki na podgląd na żywo oraz publikowane na wewnętrznej szynie zdarzeń.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WIZ-04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Zdarzenia detekcji muszą móc wyzwalać Przepływy (bloki alarmu i werdyktu), umożliwiając automatyzacje: powiadomienie, zapis nagrania, analizę fragmentu przez model wizyjno-językowy.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WIZ-05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Nagrania i klatki muszą być udostępniane wyłącznie przez podpisane adresy URL o ograniczonym czasie ważności (HMAC + TTL).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WIZ-06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Architektura modułu musi umożliwiać rozbudowę do potoków analityki nadzoru wideo (śledzenie obiektów, re-identyfikacja, korelacja zdarzeń) bez zmiany platformy.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15. Obsługa robotów i danych przestrzennych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ROB-01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ramy integracji robotów: robot jest opisywany deklaratywnie w manifeście dodatku (klasa urządzenia, producent/model, parametry połączenia, możliwości, koperta bezpieczeństwa).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ROB-02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Interfejs sterowania robotem musi być generowany automatycznie na podstawie zadeklarowanych możliwości (akcje z metadanymi: etykieta, poziom ryzyka, schemat parametrów), bez konieczności zmian w rdzeniu Systemu dla nowego typu robota.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ROB-03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Funkcja zatrzymania awaryjnego (E-stop) musi być zawsze widoczna i dostępna dla operatora; polecenia ruchu muszą być po stronie Systemu walidowane i ograniczane (listy dozwolonych akcji, limity prędkości i czasu trwania).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ROB-04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obsługiwać strumień obrazu z kamery robota oraz strumień danych LiDAR z wizualizacją chmury punktów 3D w przeglądarce (renderowanie GPU).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ROB-05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utrzymywać współdzieloną, trwałą mapę przestrzenną budowaną z danych LiDAR wielu urządzeń (SLAM: odometria, domykanie pętli, graf pozycji) wraz ze śledzeniem pozycji urządzeń.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ROB-06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Sparowane urządzenie mobilne musi móc pełnić rolę węzła sensorycznego (kamera, czujnik głębi, IMU, GPS) zasilającego wspólną mapę, z uprawnieniami per czujnik.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ROB-07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Referencyjna integracja musi obejmować co najmniej jednego robota dostępnego rynkowo, sterowanego po sieci lokalnej.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16. Obsługa spotkań (bot konferencyjny)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SPT-01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bota spotkań dołączającego do telekonferencji (co najmniej jedna z powszechnie używanych platform konferencyjnych) w celu transkrypcji przebiegu spotkania.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SPT-02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Transkrypcja musi odbywać się na żywo, z rozróżnianiem mówców (diaryzacja) i możliwością rejestracji profili głosowych.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SPT-03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generować podsumowania spotkania oraz wyodrębniać zadania do wykonania (action items) przy użyciu modeli LLM Systemu, prezentując je w widoku na żywo.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SPT-04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Każda sesja bota musi działać w izolowanym środowisku (osobny kontener/proces) z możliwością podglądu ekranu bota przez operatora.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SPT-05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Transkrypcje muszą być trwale zapisywane, przeszukiwalne i możliwe do pobrania po zakończeniu spotkania; dane spotkań nie mogą opuszczać infrastruktury Zamawiającego.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17. Rozszerzalność: dodatki i SDK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ADD-01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mechanizm dodatków uruchamianych w izolowanym środowisku WebAssembly (sandbox) na wszystkich platformach, w tym mobilnych.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ADD-02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Dodatki muszą móc dostarczać: narzędzia dla LLM/Agentów, bloki Przepływów, własne panele interfejsu (opisywane deklaratywnie i renderowane natywnie przez System), migracje własnej bazy danych oraz umiejętności Agentów.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ADD-03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Funkcje udostępniane dodatkom przez System (host functions) muszą obejmować co najmniej: generację i strumieniowanie LLM, osadzenia, magazyn klucz–wartość i bazę SQL per dodatek, sekrety szyfrowane, żądania HTTP, przeszukiwanie sieci WWW, zdarzenia, dostęp do kamer/czujników/robotów oraz budowę UI.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ADD-04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Dostęp sieciowy dodatku musi być domyślnie zablokowany (fail-closed); każda reguła sieciowa (host, port) wymaga jawnego zatwierdzenia przez administratora — deklaracja w manifeście nie może być automatycznie zatwierdzana.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ADD-05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Wszystkie wywołania wychodzące HTTP inicjowane przez dodatki muszą przechodzić przez zabezpieczenie anty-SSRF (walidacja adresów publicznych, brak automatycznego podążania za przekierowaniami, weryfikacja DNS).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ADD-06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weryfikować integralność pakietu dodatku (podpis/suma kontrolna) i wersjonować dane dodatku wraz z migracjami schematu.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ADD-07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Producent musi udostępniać SDK do tworzenia dodatków generowane z jednej specyfikacji typów dla co najmniej trzech języków programowania (w tym co najmniej jednego kompilowanego i Pythona).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ADD-08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być dostarczony z zestawem dodatków gotowych, obejmującym co najmniej: pamięć długoterminową AI (graf wiedzy + wyszukiwanie wektorowe), RAG na dokumentach, wyszukiwanie internetowe (web research) oraz klienta MCP.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ADD-09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Uprawnienia dodatku (zasoby, funkcje hosta, widoczność dla użytkowników) muszą być zarządzane centralnie przez administratora, per dodatek i per instancja.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18. API integracyjne dla systemów zewnętrznych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API-01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API HTTP zgodne z API OpenAI co najmniej w zakresie: chat completions (ze strumieniowaniem SSE), transkrypcji audio, syntezy mowy, osadzeń (embeddings) oraz listy modeli.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API-02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dodatkowo udostępniać punkt końcowy zgodny z Anthropic Messages API oraz punkty końcowe rerankingu dokumentów.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API-03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Dostęp do API musi być uwierzytelniany kluczami API zarządzanymi w Systemie: klucze per użytkownik/grupa, z zakresami uprawnień, rotacją i unieważnianiem.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API-04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Autoryzacja musi odbywać się per model: klucz bez uprawnienia do modelu otrzymuje odpowiedź nieujawniającą istnienia zasobu (404).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API-05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API musi obsługiwać zarówno bezpośrednie wywołanie modelu (passthrough o minimalnym narzucie), jak i wywołanie Przepływu opublikowanego pod nazwą modelu.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API-06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publikować specyfikację OpenAPI oraz interaktywną dokumentację API na własnym serwerze (bez zależności od zasobów zewnętrznych).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API-07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Punkty końcowe integracyjne muszą podlegać limitowaniu żądań per adres IP i globalnie, ze zwracaniem standardowych nagłówków ponowienia (HTTP 429 + Retry-After).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19. Administracja, użytkownicy i kontrola dostępu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ADM-01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zarządzanie użytkownikami i grupami wraz z katalogiem ról oraz macierzą uprawnień do zasobów (modele, przepływy, dodatki, kamery, roboty, funkcje administracyjne).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ADM-02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Model uprawnień musi być trójstanowy (zezwól / odmów / dziedzicz) z jednoznaczną precedencją: odmowa użytkownika &gt; zgoda użytkownika &gt; odmowa grupy &gt; zgoda grupy &gt; ustawienie domyślne; domyślną polityką musi być odmowa (default deny), egzekwowana po stronie serwera.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ADM-03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prowadzić log audytu działań użytkowników i systemu z filtrowaniem, eksportem (co najmniej CSV) oraz zdarzeniami na żywo; zapis logu musi być zabezpieczony przed niezauważalną modyfikacją (łańcuch kryptograficzny).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ADM-04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udostępniać harmonogram zadań: uruchamianie narzędzi dodatków i Przepływów jednorazowo, w interwałach lub wg wyrażeń cron, z historią uruchomień i polityką ponowień.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ADM-05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moduł profilowania wydajności węzłów: sesje profilowania obejmujące CPU (flamegraf), GPU (per producent), pamięć, dysk i energię, z osią czasu, raportem i porównywaniem sesji.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ADM-06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rozliczać zużycie tokenów per użytkownik/grupa/model, egzekwować kwoty i limity oraz prezentować statystyki wykorzystania i koszty (cenniki modeli); egzekwowanie limitów musi działać spójnie w całej sieci węzłów.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ADM-07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prezentować pulpit administratora z metrykami czasu rzeczywistego (modele, sieć, aktywne przepływy, zdarzenia).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ADM-08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Ustawienia sieciowe (interfejsy, filtry adresów, adres własnego relay) muszą być konfigurowalne z interfejsu administracyjnego.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20. Wymagania bezpieczeństwa</w:t>
      </w:r>
    </w:p>
    <w:p>
      <w:r>
        <w:rPr>
          <w:b w:val="0"/>
        </w:rPr>
        <w:t>Wymagania niniejszego rozdziału mają charakter bezwzględnie obligatoryjny i podlegają weryfikacji podczas odbioru.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BEZ-01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Cała komunikacja sieciowa Systemu (klient–węzeł oraz węzeł–węzeł) musi być szyfrowana TLS w wersji co najmniej 1.3; w trybie produkcyjnym dozwolone są wyłącznie szyfry AEAD.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BEZ-02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Tożsamości węzłów muszą opierać się na kryptografii klucza publicznego (np. Ed25519); parowanie musi obejmować weryfikację kluczy obu stron i ochronę przed zgadywaniem kodu PIN (limitowanie prób).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BEZ-03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Hasła użytkowników muszą być przechowywane wyłącznie w postaci skrótów algorytmem odpornym na ataki sprzętowe (co najmniej Argon2id); sesje interfejsu muszą używać tokenów z ograniczonym czasem życia.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BEZ-04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Punkty końcowe integracyjne wykorzystujące tokeny HMAC muszą stosować porównania odporne na ataki czasowe (constant-time) oraz tokeny jednorazowe z krótkim TTL tam, gdzie dotyczy.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BEZ-05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Wywołania zwrotne usług wewnętrznych (service-to-core) muszą wspierać wzajemne TLS (mTLS) z przypinaniem odcisków certyfikatów klienta; w środowisku produkcyjnym tryb ten musi być wymuszony.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BEZ-06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Dodatki muszą działać w piaskownicy bez bezpośredniego dostępu do systemu plików, sieci i procesów hosta; każdy dostęp odbywa się przez kontrolowane funkcje hosta podlegające uprawnieniom (model fail-closed).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BEZ-07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zawierać zabezpieczenia anty-SSRF dla wszelkich pobrań treści z sieci (walidacja adresów, przypinanie DNS, rewalidacja przekierowań, limity rozmiaru odpowiedzi).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BEZ-08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stosować limitowanie żądań per IP i globalnie, nagłówki bezpieczeństwa HTTP (w tym bezwarunkowy HSTS) oraz ochronę przed atakami typu path traversal przy udostępnianiu plików.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BEZ-09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Materiały do pobrania (nagrania, klatki) muszą być dostępne wyłącznie przez podpisane URL z ograniczonym czasem ważności.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BEZ-10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Sekrety (klucze API, tokeny) muszą być przechowywane w postaci zaszyfrowanej, a interfejs nie może zwracać ich wartości po zapisaniu (maskowanie).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BEZ-11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Dziennik audytu oraz rejestr synchronizacji muszą wykorzystywać łańcuchy skrótów umożliwiające wykrycie manipulacji wpisami historycznymi.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BEZ-12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Oprogramowanie musi przechodzić testy bezpieczeństwa piaskownicy dodatków (w tym testy z celowo złośliwym dodatkiem) w procesie wytwórczym producenta.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21. Zgodność z przepisami (RODO / AI)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ZGD-01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zawierać wbudowany moduł zgodności z RODO obejmujący co najmniej: rejestr czynności przetwarzania (ROPA), obsługę wniosków podmiotów danych (DSAR), rejestr zgód, ocenę skutków (DPIA) oraz rejestr naruszeń.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ZGD-02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Każde wywołanie modelu AI musi być rejestrowane jako zdarzenie audytu AI powiązane z łańcuchem audytu (kto, jaki model, kiedy, w jakim celu), z rozdzieleniem treści zapytań/odpowiedzi od metadanych administracyjnych.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ZGD-03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Polityki retencji danych muszą być konfigurowalne per kategoria danych; retencja zdarzeń audytu AI nie może być krótsza niż ustawowo wymagany okres przyjęty przez Zamawiającego (konfigurowalne minimum).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ZGD-04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Teksty widoczne dla użytkownika w module zgodności muszą być wielojęzyczne (co najmniej polski i angielski).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ZGD-05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umożliwiać generowanie dokumentów prawnych (informacje o przetwarzaniu, regulaminy) w wariantach skróconym i pełnym, z wersjonowaniem i unieważnianiem.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ZGD-06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System musi wspierać przetwarzanie danych wyłącznie w infrastrukturze Zamawiającego, tak aby użycie zewnętrznych API modeli było zawsze świadomą, konfigurowalną decyzją administratora (możliwość całkowitego wyłączenia).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ZGD-07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System musi udostępniać filtr danych wrażliwych (PII) możliwy do wpięcia w dowolny Przepływ przetwarzania.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22. Wymagania niefunkcjonalne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NF-01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Wydajność: strumieniowanie odpowiedzi LLM musi rozpoczynać się niezwłocznie po pierwszym tokenie; narzut własny Systemu na ścieżce bezpośredniego wywołania modelu nie może przekraczać kilku milisekund.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NF-02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Skalowalność: pojedynczy węzeł serwerowy musi obsługiwać co najmniej kilkaset równoległych strumieni inferencji (przy odpowiednim sprzęcie), a sieć — co najmniej kilkadziesiąt węzłów.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NF-03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Niezawodność: restart węzła musi odtwarzać wdrożone usługi i stan bez ręcznej interwencji; zatrzymanie procesu musi zwalniać porty i zasoby (graceful shutdown).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NF-04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Zajętość zasobów: rdzeń Systemu na urządzeniu mobilnym musi działać w ramach typowych ograniczeń pamięci urządzeń klasy średniej.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NF-05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Aktualizacje: System musi udostępniać mechanizm kontrolowanej aktualizacji binariów (weryfikacja sum kontrolnych), inicjowanej przez administratora.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NF-06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Obserwowalność: System musi udostępniać metryki, logi i zdarzenia systemowe w interfejsie administracyjnym bez konieczności użycia narzędzi zewnętrznych.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NF-07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Dostępność interfejsu: aplikacja webowa musi działać w aktualnych wersjach przeglądarek Chromium, Firefox i Safari.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NF-08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Wszystkie komponenty wykonawcze Systemu muszą być możliwe do uruchomienia bez dostępu do Internetu po zakończeniu instalacji (media instalacyjne offline lub lokalne repozytorium artefaktów).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pStyle w:val="Heading1"/>
      </w:pPr>
      <w:r>
        <w:t>23. Dokumentacja, wdrożenie i odbiór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03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Wymaganie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Spełnia (TAK/NIE)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DOK-01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Wykonawca dostarczy dokumentację: architektury, administratora (instalacja, konfiguracja, kopie zapasowe, procedury awaryjne), użytkownika oraz dokumentację API i SDK dodatków.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DOK-02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Wykonawca przeprowadzi wdrożenie pilotażowe obejmujące co najmniej: jeden węzeł serwerowy GPU, jedną stację roboczą i jedno urządzenie mobilne, połączone w sieć węzłów z synchronizacją i wspólnym modelem.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DOK-03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Odbiór obejmie scenariusze testowe weryfikujące co najmniej: parowanie węzłów, przełączanie awaryjne aliasu modelu, pracę offline urządzenia mobilnego, synchronizację konfiguracji, uruchomienie Przepływu, wywołanie API zgodnego z OpenAI oraz działanie modułu zgodności.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  <w:tr>
        <w:tc>
          <w:tcPr>
            <w:tcW w:type="dxa" w:w="1304"/>
            <w:shd w:val="clear" w:fill="F2F6FA"/>
          </w:tcPr>
          <w:p>
            <w:pPr>
              <w:jc w:val="center"/>
            </w:pPr>
            <w:r>
              <w:rPr>
                <w:b/>
                <w:sz w:val="19"/>
              </w:rPr>
              <w:t>DOK-04</w:t>
            </w:r>
          </w:p>
        </w:tc>
        <w:tc>
          <w:tcPr>
            <w:tcW w:type="dxa" w:w="6803"/>
            <w:shd w:val="clear" w:fill="F2F6FA"/>
          </w:tcPr>
          <w:p>
            <w:r>
              <w:rPr>
                <w:sz w:val="19"/>
              </w:rPr>
              <w:t>Wykonawca przeprowadzi instruktaż: co najmniej 2 dni dla administratorów i 1 dzień dla użytkowników kluczowych.</w:t>
            </w:r>
          </w:p>
        </w:tc>
        <w:tc>
          <w:tcPr>
            <w:tcW w:type="dxa" w:w="1361"/>
            <w:shd w:val="clear" w:fill="F2F6FA"/>
          </w:tcPr>
          <w:p>
            <w:pPr>
              <w:jc w:val="center"/>
            </w:pP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9"/>
              </w:rPr>
              <w:t>DOK-05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W okresie gwarancji Wykonawca zapewni usuwanie wad oraz dostarczanie aktualizacji bezpieczeństwa.</w:t>
            </w:r>
          </w:p>
        </w:tc>
        <w:tc>
          <w:tcPr>
            <w:tcW w:type="dxa" w:w="1361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r>
        <w:rPr>
          <w:b w:val="0"/>
        </w:rPr>
      </w:r>
    </w:p>
    <w:p>
      <w:pPr>
        <w:jc w:val="center"/>
      </w:pPr>
      <w:r>
        <w:rPr>
          <w:b w:val="0"/>
          <w:color w:val="2E74B5"/>
        </w:rPr>
        <w:t>Koniec dokumentu.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Strona </w:t>
    </w:r>
    <w:fldSimple w:instr="PAGE">
      <w:r>
        <w:t>1</w:t>
      </w:r>
    </w:fldSimple>
    <w:r>
      <w:rPr>
        <w:sz w:val="18"/>
      </w:rPr>
      <w:t xml:space="preserve"> z </w:t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