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FAF-REF-003</w:t>
        <w:br/>
        <w:t>Guide du formateur</w:t>
      </w:r>
    </w:p>
    <w:p>
      <w:r>
        <w:rPr>
          <w:b/>
        </w:rPr>
        <w:t xml:space="preserve">Référence : </w:t>
      </w:r>
      <w:r>
        <w:t>FAF-REF-003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Applicable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d'application : </w:t>
      </w:r>
      <w:r>
        <w:t>À compléter</w:t>
        <w:br/>
      </w:r>
    </w:p>
    <w:p>
      <w:pPr>
        <w:pStyle w:val="Heading1"/>
      </w:pPr>
      <w:r>
        <w:t>1. Objet</w:t>
      </w:r>
    </w:p>
    <w:p>
      <w:r>
        <w:t>Définir une méthode commune pour préparer, animer et évaluer les actions de formation FAF.</w:t>
      </w:r>
    </w:p>
    <w:p>
      <w:pPr>
        <w:pStyle w:val="Heading1"/>
      </w:pPr>
      <w:r>
        <w:t>2. Rôle du formateur</w:t>
      </w:r>
    </w:p>
    <w:p>
      <w:r>
        <w:t>Le formateur transmet des compétences, accompagne la progression, développe le raisonnement et veille au respect des procédures officielles.</w:t>
      </w:r>
    </w:p>
    <w:p>
      <w:pPr>
        <w:pStyle w:val="Heading1"/>
      </w:pPr>
      <w:r>
        <w:t>3. Préparation d'une séance</w:t>
      </w:r>
    </w:p>
    <w:p>
      <w:r>
        <w:t>Identifier la fonction, le niveau des apprenants, les compétences visées, les documents de référence et les objectifs pédagogiques avant toute formation.</w:t>
      </w:r>
    </w:p>
    <w:p>
      <w:pPr>
        <w:pStyle w:val="Heading1"/>
      </w:pPr>
      <w:r>
        <w:t>4. Déroulement recommandé</w:t>
      </w:r>
    </w:p>
    <w:p>
      <w:r>
        <w:t>1) Introduction et objectifs.</w:t>
        <w:br/>
        <w:t>2) Rappel sécurité.</w:t>
        <w:br/>
        <w:t>3) Présentation du procédé ou de la procédure.</w:t>
        <w:br/>
        <w:t>4) Questions et échanges.</w:t>
        <w:br/>
        <w:t>5) Mise en situation.</w:t>
        <w:br/>
        <w:t>6) Débriefing.</w:t>
        <w:br/>
        <w:t>7) Synthèse.</w:t>
      </w:r>
    </w:p>
    <w:p>
      <w:pPr>
        <w:pStyle w:val="Heading1"/>
      </w:pPr>
      <w:r>
        <w:t>5. Méthodes pédagogiques</w:t>
      </w:r>
    </w:p>
    <w:p>
      <w:r>
        <w:t>Privilégier les questions ouvertes, les démonstrations terrain, les études de cas, les Gun Drills, les analyses de procédures et les retours d'expérience.</w:t>
      </w:r>
    </w:p>
    <w:p>
      <w:pPr>
        <w:pStyle w:val="Heading1"/>
      </w:pPr>
      <w:r>
        <w:t>6. Conduite du questionnement</w:t>
      </w:r>
    </w:p>
    <w:p>
      <w:r>
        <w:t>Faire expliquer le 'pourquoi' avant le 'comment'. Encourager le raisonnement plutôt que la mémorisation. Adapter le niveau des questions au profil de l'apprenant.</w:t>
      </w:r>
    </w:p>
    <w:p>
      <w:pPr>
        <w:pStyle w:val="Heading1"/>
      </w:pPr>
      <w:r>
        <w:t>7. Gestion des erreurs</w:t>
      </w:r>
    </w:p>
    <w:p>
      <w:r>
        <w:t>Transformer chaque erreur en opportunité d'apprentissage : expliquer le raisonnement attendu, les risques, les conséquences et la référence documentaire.</w:t>
      </w:r>
    </w:p>
    <w:p>
      <w:pPr>
        <w:pStyle w:val="Heading1"/>
      </w:pPr>
      <w:r>
        <w:t>8. Évaluation</w:t>
      </w:r>
    </w:p>
    <w:p>
      <w:r>
        <w:t>Mesurer les connaissances, la compréhension, le diagnostic, la prise de décision, la communication et le respect des procédures.</w:t>
      </w:r>
    </w:p>
    <w:p>
      <w:pPr>
        <w:pStyle w:val="Heading1"/>
      </w:pPr>
      <w:r>
        <w:t>9. Débriefing</w:t>
      </w:r>
    </w:p>
    <w:p>
      <w:r>
        <w:t>Analyser les points forts, les axes de progrès, les bonnes pratiques observées et définir un plan de progression.</w:t>
      </w:r>
    </w:p>
    <w:p>
      <w:pPr>
        <w:pStyle w:val="Heading1"/>
      </w:pPr>
      <w:r>
        <w:t>10. Bonnes pratiques</w:t>
      </w:r>
    </w:p>
    <w:p>
      <w:r>
        <w:t>Favoriser un climat de confiance, encourager les questions, distinguer faits et hypothèses, s'appuyer systématiquement sur la documentation officielle.</w:t>
      </w:r>
    </w:p>
    <w:p>
      <w:pPr>
        <w:pStyle w:val="Heading1"/>
      </w:pPr>
      <w:r>
        <w:t>11. Rôle de l'IA</w:t>
      </w:r>
    </w:p>
    <w:p>
      <w:r>
        <w:t>L'assistant IA aide à préparer les supports, scénarios et évaluations mais ne remplace ni le formateur ni les procédures officielles.</w:t>
      </w:r>
    </w:p>
    <w:p>
      <w:pPr>
        <w:pStyle w:val="Heading1"/>
      </w:pPr>
      <w:r>
        <w:t>Annexe A – Checklist du formateur</w:t>
      </w:r>
    </w:p>
    <w:p>
      <w:pPr>
        <w:pStyle w:val="ListBullet"/>
      </w:pPr>
      <w:r>
        <w:t>Objectifs pédagogiques définis</w:t>
      </w:r>
    </w:p>
    <w:p>
      <w:pPr>
        <w:pStyle w:val="ListBullet"/>
      </w:pPr>
      <w:r>
        <w:t>Documents officiels identifiés</w:t>
      </w:r>
    </w:p>
    <w:p>
      <w:pPr>
        <w:pStyle w:val="ListBullet"/>
      </w:pPr>
      <w:r>
        <w:t>Niveau des apprenants connu</w:t>
      </w:r>
    </w:p>
    <w:p>
      <w:pPr>
        <w:pStyle w:val="ListBullet"/>
      </w:pPr>
      <w:r>
        <w:t>Questions de raisonnement prévues</w:t>
      </w:r>
    </w:p>
    <w:p>
      <w:pPr>
        <w:pStyle w:val="ListBullet"/>
      </w:pPr>
      <w:r>
        <w:t>Exercice pratique ou étude de cas préparé</w:t>
      </w:r>
    </w:p>
    <w:p>
      <w:pPr>
        <w:pStyle w:val="ListBullet"/>
      </w:pPr>
      <w:r>
        <w:t>Débriefing planifié</w:t>
      </w:r>
    </w:p>
    <w:p>
      <w:pPr>
        <w:pStyle w:val="ListBullet"/>
      </w:pPr>
      <w:r>
        <w:t>Traçabilité des évaluations assurée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