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that hold none or little functionality, have entire data is made up of primitive types, and are less than 64 bytes can be made into structs that are passed and taken directly as data.</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other classes will be turned into partial classes with one file of the class name declaring it as a child of ‘BufferType’ or a derived type of ‘BufferType’.  The other class with the name of class name plus ‘Include’ will give the class functions to retrieve the variables it needs.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BufferType and derived types will be initialized with IntPtr to the location of the requested class type.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that hold other pointers to other classes will return an initialized class with the pointer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that hold other classes will use a private internal value initialized in the constructor.  The public value will return the internal one for gets, and the set will go through an external function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that hold other structs will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 type will be used in replacement of spans, arrays, array pointers, or any other array types that hold constant contiguous memory.  Their lengths are immutable but do allow to change the data inside the array.  It is an exception to attempt to retrieve or set data past the length of the array.</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type that uses an array will need to define functions for when (if) it is possible to change the array length.</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Vectors that hold pointers to a type will use the ‘PtrVector’ type and its functions.  It should be initialized in the constructor and have a private set.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returning a pointer, it should be passed as a void*</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FORMATING :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line is a comment with 50 dashes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type within a class and (if it has) its helper variables should be enclosed in comment lines with a comment on the line above the first comment.  It should be in parentheses the type and then name, as if using a c-style cast.  For Object mesh it would be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//(Mesh)mesh</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grouped items it should be the main item name and type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private public combo, they should be grouped within the same comment lines and the private variable on the line directly above the public.  The comment should describe the public variable,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and struct first constructors/destructors should have 5 spaces from the closet non-empty line, except if the constructor/destructor is the only thing within the class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(if any) constructors/destructors should have one space empty between each other</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3 spaces between the types in a class, except when it is the very first one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variables don’t need comment lines or spaces, but they should be used if needed.</w:t>
        <w:br w:type="textWrapping"/>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all the ‘Include’ classes the groups should be separated with a single empty line, and relative functions and variables placed on lines directly above or below each other.</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larger ‘Include’ classes the use of comment lines and more spaces to separate groups should be used.</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and struct functions should have a single top comment line and description comment above that</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description comment should have 3 spaces from the nearest non-empty line, except for the first which should have 5 spaces away</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and struct operators should all be enclosed within comment lines and each one should have a comment above with an example use.  The main top comment line should be 5 spaces away from the nearest non-empty line.  The type of each thing in the example should be within parenthesis before the type as if performing a c-style cast.  For Material implicit operator with an IntPtr the comment would be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//(Material)mat = (IntPtr)4</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top comment lines should have 3 spaces from the nearest non-empty line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operator example comment should be 2 spaces away from the nearest non-empty line, except for the first one.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order things will go in within classes and structs is :</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Functions</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Operators</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Constructors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Destructors</w:t>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there are multiple classes in a file, each one should be enclosed in comment lines.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class should have 5 spaces from the nearest closet non-empty line, except for the starting class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