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Stage06 Supervisor Review Publish Document Example</w:t>
      </w:r>
    </w:p>
    <w:p>
      <w:r>
        <w:rPr>
          <w:i/>
        </w:rPr>
        <w:t>FlashDrop Logistics GmbH | COMPLETED synthetic example</w:t>
      </w:r>
    </w:p>
    <w:p>
      <w:pPr>
        <w:pStyle w:val="Heading1"/>
      </w:pPr>
      <w:r>
        <w:t>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ID</w:t>
            </w:r>
          </w:p>
        </w:tc>
        <w:tc>
          <w:tcPr>
            <w:tcW w:type="dxa" w:w="4320"/>
          </w:tcPr>
          <w:p>
            <w:r>
              <w:t>Stage06_Supervisor_Review_Publish-DOC-001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ScheduleDateID</w:t>
            </w:r>
          </w:p>
        </w:tc>
        <w:tc>
          <w:tcPr>
            <w:tcW w:type="dxa" w:w="4320"/>
          </w:tcPr>
          <w:p>
            <w:r>
              <w:t>SD-2026-03-04</w:t>
            </w:r>
          </w:p>
        </w:tc>
      </w:tr>
      <w:tr>
        <w:tc>
          <w:tcPr>
            <w:tcW w:type="dxa" w:w="4320"/>
          </w:tcPr>
          <w:p>
            <w:r>
              <w:t>Tenant ID</w:t>
            </w:r>
          </w:p>
        </w:tc>
        <w:tc>
          <w:tcPr>
            <w:tcW w:type="dxa" w:w="4320"/>
          </w:tcPr>
          <w:p>
            <w:r>
              <w:t>flashdrop-demo</w:t>
            </w:r>
          </w:p>
        </w:tc>
      </w:tr>
      <w:tr>
        <w:tc>
          <w:tcPr>
            <w:tcW w:type="dxa" w:w="4320"/>
          </w:tcPr>
          <w:p>
            <w:r>
              <w:t>Domain ID</w:t>
            </w:r>
          </w:p>
        </w:tc>
        <w:tc>
          <w:tcPr>
            <w:tcW w:type="dxa" w:w="4320"/>
          </w:tcPr>
          <w:p>
            <w:r>
              <w:t>berlin-east-hub</w:t>
            </w:r>
          </w:p>
        </w:tc>
      </w:tr>
    </w:tbl>
    <w:p>
      <w:pPr>
        <w:pStyle w:val="Heading1"/>
      </w:pPr>
      <w:r>
        <w:t>Scenario</w:t>
      </w:r>
    </w:p>
    <w:p>
      <w:r>
        <w:t>Supervisor S-301 approves publication with the float-courier mitigation in place and hands one traffic watch item into Stage07.</w:t>
      </w:r>
    </w:p>
    <w:p>
      <w:pPr>
        <w:pStyle w:val="Heading1"/>
      </w:pPr>
      <w:r>
        <w:t>Known risk</w:t>
      </w:r>
    </w:p>
    <w:p>
      <w:r>
        <w:t>BE-SOUTH may require live-day rerouting if travel times spike above forecast.</w:t>
      </w:r>
    </w:p>
    <w:p>
      <w:pPr>
        <w:pStyle w:val="Heading1"/>
      </w:pPr>
      <w:r>
        <w:t>Checklist</w:t>
      </w:r>
    </w:p>
    <w:p>
      <w:pPr>
        <w:pStyle w:val="ListBullet"/>
      </w:pPr>
      <w:r>
        <w:t>Record reviewer identity and time.</w:t>
      </w:r>
    </w:p>
    <w:p>
      <w:pPr>
        <w:pStyle w:val="ListBullet"/>
      </w:pPr>
      <w:r>
        <w:t>Record the exact published artifact version.</w:t>
      </w:r>
    </w:p>
    <w:p>
      <w:pPr>
        <w:pStyle w:val="ListBullet"/>
      </w:pPr>
      <w:r>
        <w:t>Record any known residual risks handed into Stage07.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