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Daily Capture Report (DOCX)</w:t>
      </w:r>
    </w:p>
    <w:p>
      <w:pPr>
        <w:spacing w:after="240"/>
      </w:pPr>
      <w:r>
        <w:rPr>
          <w:color w:val="5A5A5A"/>
          <w:sz w:val="22"/>
        </w:rPr>
        <w:t>FlashShip Logistics GmbH | Raw time and piece capture | Completed example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Stage03_Raw_Time_Piece_Capture-DOC-001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3. Raw time and piece capture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Internal Payroll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Berlin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PP-2026-W07 (2026-02-09 to 2026-02-15)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RULES-2026.02.01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Workflow platform + Payroll system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Raw Event Intake Log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Capture the raw work evidence (time events, piece units) from operations systems and create an ingestion log with errors for triage.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Time clock / driver app events (clock-in/out, breaks)</w:t>
      </w:r>
    </w:p>
    <w:p>
      <w:pPr>
        <w:numPr/>
        <w:spacing w:after="20"/>
        <w:ind w:left="360" w:hanging="216"/>
      </w:pPr>
      <w:r>
        <w:t>• Dispatch/route events (assignments, stop counts, route IDs)</w:t>
      </w:r>
    </w:p>
    <w:p>
      <w:pPr>
        <w:numPr/>
        <w:spacing w:after="20"/>
        <w:ind w:left="360" w:hanging="216"/>
      </w:pPr>
      <w:r>
        <w:t>• Manual corrections submitted by operations (if applicable)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Raw event intake log (per-event record with ingestion status)</w:t>
      </w:r>
    </w:p>
    <w:p>
      <w:pPr>
        <w:numPr/>
        <w:spacing w:after="20"/>
        <w:ind w:left="360" w:hanging="216"/>
      </w:pPr>
      <w:r>
        <w:t>• Daily capture summary (counts, missing events, error rates)</w:t>
      </w:r>
    </w:p>
    <w:p>
      <w:pPr>
        <w:numPr/>
        <w:spacing w:after="20"/>
        <w:ind w:left="360" w:hanging="216"/>
      </w:pPr>
      <w:r>
        <w:t>• Error queue entries for failed ingestions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Ingest raw events from source systems and validate schema/required fields.</w:t>
      </w:r>
    </w:p>
    <w:p>
      <w:pPr>
        <w:spacing w:after="40"/>
      </w:pPr>
      <w:r>
        <w:t>2. Deduplicate events by Event_ID; normalize timestamps to canonical timezone.</w:t>
      </w:r>
    </w:p>
    <w:p>
      <w:pPr>
        <w:spacing w:after="40"/>
      </w:pPr>
      <w:r>
        <w:t>3. Store raw event records (immutable) and log ingestion status for each event.</w:t>
      </w:r>
    </w:p>
    <w:p>
      <w:pPr>
        <w:spacing w:after="40"/>
      </w:pPr>
      <w:r>
        <w:t>4. Produce daily summary: volume by source and error counts; flag missing or anomalous events.</w:t>
      </w:r>
    </w:p>
    <w:p>
      <w:pPr>
        <w:spacing w:after="40"/>
      </w:pPr>
      <w:r>
        <w:t>5. Assign ingestion errors for resolution and record resolutions in the log.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 event identifier from source system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Event_Type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clock_in/clock_out/piece_unit/etc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Event_Timestamp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When event occurred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Timestamp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 associated with event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Must exist in worker master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Units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Payable units (if piece event)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Number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Ingest_Status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Success/Failed/Pending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Error_Code / Notes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If failed, why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failed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Completeness check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Daily counts vs expected roster/assignments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Immutability of raw events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Corrections happen via adjustment workflow, not overwriting raw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Traceability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Each timesheet line later references Event_IDs or batch IDs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 (Payroll Ops)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Priya Shah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attest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2026-02-16 10:32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 by (Finance)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Lukas Weber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attest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2026-02-16 11:18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p>
      <w:pPr>
        <w:spacing w:before="200" w:after="80"/>
      </w:pPr>
      <w:r>
        <w:rPr>
          <w:b/>
          <w:sz w:val="28"/>
        </w:rPr>
        <w:t>9. Example notes (why values look the way they do)</w:t>
      </w:r>
    </w:p>
    <w:p>
      <w:r>
        <w:t>This completed example uses fictitious worker data and illustrative amounts to demonstrate template usage. It is not a jurisdictional payroll computation and must not be treated as legally accurate withholding/tax output.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