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Timesheet Approval Form (DOCX)</w:t>
      </w:r>
    </w:p>
    <w:p>
      <w:pPr>
        <w:spacing w:after="240"/>
      </w:pPr>
      <w:r>
        <w:rPr>
          <w:color w:val="5A5A5A"/>
          <w:sz w:val="22"/>
        </w:rPr>
        <w:t>FlashShip Logistics GmbH | Manager review and approval of timesheets | Completed example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Stage05_Manager_Approval-DOC-001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5. Manager review and approval of timesheets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Internal Payroll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Berlin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PP-2026-W07 (2026-02-09 to 2026-02-15)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RULES-2026.02.01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Workflow platform + Payroll system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Manager Approval Tracker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Capture accountable manager approvals for each worker’s timesheet and lock approved timesheets from further edits.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Submitted timesheets and resolved exceptions (Stage 4)</w:t>
      </w:r>
    </w:p>
    <w:p>
      <w:pPr>
        <w:numPr/>
        <w:spacing w:after="20"/>
        <w:ind w:left="360" w:hanging="216"/>
      </w:pPr>
      <w:r>
        <w:t>• Any outstanding adjustment requests requiring manager decision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Approval records per worker/timesheet</w:t>
      </w:r>
    </w:p>
    <w:p>
      <w:pPr>
        <w:numPr/>
        <w:spacing w:after="20"/>
        <w:ind w:left="360" w:hanging="216"/>
      </w:pPr>
      <w:r>
        <w:t>• Locked timesheet status and Lock_ID for audit traceability</w:t>
      </w:r>
    </w:p>
    <w:p>
      <w:pPr>
        <w:numPr/>
        <w:spacing w:after="20"/>
        <w:ind w:left="360" w:hanging="216"/>
      </w:pPr>
      <w:r>
        <w:t>• Rejected/returned timesheets with required revision notes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Manager reviews each worker’s timesheet line items and exceptions summary.</w:t>
      </w:r>
    </w:p>
    <w:p>
      <w:pPr>
        <w:spacing w:after="40"/>
      </w:pPr>
      <w:r>
        <w:t>2. Manager either approves, rejects with reasons, or requests revisions.</w:t>
      </w:r>
    </w:p>
    <w:p>
      <w:pPr>
        <w:spacing w:after="40"/>
      </w:pPr>
      <w:r>
        <w:t>3. Upon approval, payroll locks the timesheet; edits require a correction/adjustment workflow.</w:t>
      </w:r>
    </w:p>
    <w:p>
      <w:pPr>
        <w:spacing w:after="40"/>
      </w:pPr>
      <w:r>
        <w:t>4. Record approval metadata (who/when/method) and Lock_ID.</w:t>
      </w:r>
    </w:p>
    <w:p>
      <w:pPr>
        <w:spacing w:after="40"/>
      </w:pPr>
      <w:r>
        <w:t>5. Produce a tracker view for payroll to confirm all required approvals are completed by cutoff.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Approval_Status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Approved/Rejected/Revision Requested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Approval_Tracker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Approved_By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Manager identity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Approval_Tracker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if approved/rejected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Approved_At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Timestamp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Approval_Tracker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if approved/rejected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Lock_ID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lock token for approved sheet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Approval_Tracker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if approved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Rejection_Reason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If rejected, required explanation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Approval_Tracker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if rejected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 cutoff enforcement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Approvals must meet cutoff before payroll lock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Separation of duties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Manager approves; payroll executes locking and downstream steps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Non-repudiation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Capture method (e-sign, system attest) and timestamps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Approved by (Manager)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Morgan Fischer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E-sign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2026-02-16 09:45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p>
      <w:pPr>
        <w:spacing w:before="200" w:after="80"/>
      </w:pPr>
      <w:r>
        <w:rPr>
          <w:b/>
          <w:sz w:val="28"/>
        </w:rPr>
        <w:t>9. Example notes (why values look the way they do)</w:t>
      </w:r>
    </w:p>
    <w:p>
      <w:r>
        <w:t>This completed example uses fictitious worker data and illustrative amounts to demonstrate template usage. It is not a jurisdictional payroll computation and must not be treated as legally accurate withholding/tax output.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