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Planning Workflow MVP (Same-Day Delivery) — Workflow &amp; Artifact Templates</w:t>
      </w:r>
    </w:p>
    <w:p>
      <w:r>
        <w:rPr>
          <w:i/>
        </w:rPr>
        <w:t>FlashDrop Logistics GmbH | Template pack v1.0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Tenant example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example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  <w:tr>
        <w:tc>
          <w:tcPr>
            <w:tcW w:type="dxa" w:w="4320"/>
          </w:tcPr>
          <w:p>
            <w:r>
              <w:t>Partition key</w:t>
            </w:r>
          </w:p>
        </w:tc>
        <w:tc>
          <w:tcPr>
            <w:tcW w:type="dxa" w:w="4320"/>
          </w:tcPr>
          <w:p>
            <w:r>
              <w:t>ScheduleDateID</w:t>
            </w:r>
          </w:p>
        </w:tc>
      </w:tr>
      <w:tr>
        <w:tc>
          <w:tcPr>
            <w:tcW w:type="dxa" w:w="4320"/>
          </w:tcPr>
          <w:p>
            <w:r>
              <w:t>Partition example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</w:tbl>
    <w:p>
      <w:pPr>
        <w:pStyle w:val="Heading1"/>
      </w:pPr>
      <w:r>
        <w:t>Scope and assumptions</w:t>
      </w:r>
    </w:p>
    <w:p>
      <w:r>
        <w:t>These templates are designed for a same-day delivery operator with roughly 200 employees across couriers, dispatch, hub operations, and supervisors. They assume daily schedule publication, tight service windows, and routine exception handling.</w:t>
      </w:r>
    </w:p>
    <w:p>
      <w:pPr>
        <w:pStyle w:val="Heading1"/>
      </w:pPr>
      <w:r>
        <w:t>How to use the template pack</w:t>
      </w:r>
    </w:p>
    <w:p>
      <w:r>
        <w:t>For each service day, create a folder for the ScheduleDateID and copy the EMPTY templates into that folder. Every artifact should carry a stable Artifact ID and Version. Use only synthetic data in examples.</w:t>
      </w:r>
    </w:p>
    <w:p>
      <w:pPr>
        <w:pStyle w:val="Heading1"/>
      </w:pPr>
      <w:r>
        <w:t>Key workflow principle</w:t>
      </w:r>
    </w:p>
    <w:p>
      <w:r>
        <w:t>The stable base schedule is published first. Any live-day change must be captured as a new replan delta / new artifact version rather than silently editing the published schedule.</w:t>
      </w:r>
    </w:p>
    <w:p>
      <w:pPr>
        <w:pStyle w:val="Heading1"/>
      </w:pPr>
      <w:r>
        <w:t>Data hygiene</w:t>
      </w:r>
    </w:p>
    <w:p>
      <w:r>
        <w:t>Availability must use coded absence/leave types only; do not record medical or disciplinary detail. Do not store sensitive customer financial data in these templates.</w:t>
      </w:r>
    </w:p>
    <w:p>
      <w:pPr>
        <w:pStyle w:val="Heading1"/>
      </w:pPr>
      <w:r>
        <w:t>Stage summary</w:t>
      </w:r>
    </w:p>
    <w:p>
      <w:r>
        <w:t>Stage01 Schedule Config → Stage02 Workforce Availability → Stage03 Demand Forecast &amp; Coverage → Stage04 Capacity Plan → Stage05 Draft Schedule &amp; Constraint Triage → Stage06 Supervisor Review &amp; Publish → Stage07 Intraday Exception Control.</w:t>
      </w:r>
    </w:p>
    <w:p>
      <w:pPr>
        <w:pStyle w:val="Heading1"/>
      </w:pPr>
      <w:r>
        <w:t>Checklist</w:t>
      </w:r>
    </w:p>
    <w:p>
      <w:pPr>
        <w:pStyle w:val="ListBullet"/>
      </w:pPr>
      <w:r>
        <w:t>Stage06 is the stable base publication gate.</w:t>
      </w:r>
    </w:p>
    <w:p>
      <w:pPr>
        <w:pStyle w:val="ListBullet"/>
      </w:pPr>
      <w:r>
        <w:t>Stage07 is the live-day exception board and replan gate.</w:t>
      </w:r>
    </w:p>
    <w:p>
      <w:pPr>
        <w:pStyle w:val="ListBullet"/>
      </w:pPr>
      <w:r>
        <w:t>All official inputs and outputs are defined by promotion pointers.</w:t>
      </w:r>
    </w:p>
    <w:p>
      <w:pPr>
        <w:pStyle w:val="ListBullet"/>
      </w:pPr>
      <w:r>
        <w:t>Artifacts are immutable versions; changes create new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