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Stage01 Schedule Config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Stage01_Schedule_Config-DOC-001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Berlin East hub publishes configuration for a Wednesday service day with three delivery zones and van-based last-mile operations.</w:t>
      </w:r>
    </w:p>
    <w:p>
      <w:pPr>
        <w:pStyle w:val="Heading1"/>
      </w:pPr>
      <w:r>
        <w:t>Key decision</w:t>
      </w:r>
    </w:p>
    <w:p>
      <w:r>
        <w:t>Major replan threshold set at &gt;10% uncovered courier-hours or any contractor activation.</w:t>
      </w:r>
    </w:p>
    <w:p>
      <w:pPr>
        <w:pStyle w:val="Heading1"/>
      </w:pPr>
      <w:r>
        <w:t>Notes</w:t>
      </w:r>
    </w:p>
    <w:p>
      <w:r>
        <w:t>Service-day base publication target is 17:30 local time on the preceding day.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publish cutoff and major-replan thresholds.</w:t>
      </w:r>
    </w:p>
    <w:p>
      <w:pPr>
        <w:pStyle w:val="ListBullet"/>
      </w:pPr>
      <w:r>
        <w:t>Confirm break and max-shift assumptions.</w:t>
      </w:r>
    </w:p>
    <w:p>
      <w:pPr>
        <w:pStyle w:val="ListBullet"/>
      </w:pPr>
      <w:r>
        <w:t>Confirm zone / vehicle-class coverage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