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Stage01 Schedule Config Document Template</w:t>
      </w:r>
    </w:p>
    <w:p>
      <w:r>
        <w:rPr>
          <w:i/>
        </w:rPr>
        <w:t>FlashDrop Logistics GmbH | EMPTY template</w:t>
      </w:r>
    </w:p>
    <w:p>
      <w:pPr>
        <w:pStyle w:val="Heading1"/>
      </w:pPr>
      <w:r>
        <w:t>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 ID</w:t>
            </w:r>
          </w:p>
        </w:tc>
        <w:tc>
          <w:tcPr>
            <w:tcW w:type="dxa" w:w="4320"/>
          </w:tcPr>
          <w:p>
            <w:r>
              <w:t>[Artifact_ID]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[v1.0]</w:t>
            </w:r>
          </w:p>
        </w:tc>
      </w:tr>
      <w:tr>
        <w:tc>
          <w:tcPr>
            <w:tcW w:type="dxa" w:w="4320"/>
          </w:tcPr>
          <w:p>
            <w:r>
              <w:t>ScheduleDateID</w:t>
            </w:r>
          </w:p>
        </w:tc>
        <w:tc>
          <w:tcPr>
            <w:tcW w:type="dxa" w:w="4320"/>
          </w:tcPr>
          <w:p>
            <w:r>
              <w:t>[ScheduleDateID]</w:t>
            </w:r>
          </w:p>
        </w:tc>
      </w:tr>
      <w:tr>
        <w:tc>
          <w:tcPr>
            <w:tcW w:type="dxa" w:w="4320"/>
          </w:tcPr>
          <w:p>
            <w:r>
              <w:t>Tenant ID</w:t>
            </w:r>
          </w:p>
        </w:tc>
        <w:tc>
          <w:tcPr>
            <w:tcW w:type="dxa" w:w="4320"/>
          </w:tcPr>
          <w:p>
            <w:r>
              <w:t>[tenant_id]</w:t>
            </w:r>
          </w:p>
        </w:tc>
      </w:tr>
      <w:tr>
        <w:tc>
          <w:tcPr>
            <w:tcW w:type="dxa" w:w="4320"/>
          </w:tcPr>
          <w:p>
            <w:r>
              <w:t>Domain ID</w:t>
            </w:r>
          </w:p>
        </w:tc>
        <w:tc>
          <w:tcPr>
            <w:tcW w:type="dxa" w:w="4320"/>
          </w:tcPr>
          <w:p>
            <w:r>
              <w:t>[domain_id]</w:t>
            </w:r>
          </w:p>
        </w:tc>
      </w:tr>
    </w:tbl>
    <w:p>
      <w:pPr>
        <w:pStyle w:val="Heading1"/>
      </w:pPr>
      <w:r>
        <w:t>Purpose</w:t>
      </w:r>
    </w:p>
    <w:p>
      <w:r>
        <w:t>Define zone-level service windows, shift templates, publication cutoffs, and escalation defaults for a service day.</w:t>
      </w:r>
    </w:p>
    <w:p>
      <w:pPr>
        <w:pStyle w:val="Heading1"/>
      </w:pPr>
      <w:r>
        <w:t>Inputs</w:t>
      </w:r>
    </w:p>
    <w:p>
      <w:r>
        <w:t>Use tenant/domain policy decisions, service-level expectations, and hub constraints.</w:t>
      </w:r>
    </w:p>
    <w:p>
      <w:pPr>
        <w:pStyle w:val="Heading1"/>
      </w:pPr>
      <w:r>
        <w:t>Outputs</w:t>
      </w:r>
    </w:p>
    <w:p>
      <w:r>
        <w:t>Official configuration inputs for workforce planning and publication review.</w:t>
      </w:r>
    </w:p>
    <w:p>
      <w:pPr>
        <w:pStyle w:val="Heading1"/>
      </w:pPr>
      <w:r>
        <w:t>Checklist</w:t>
      </w:r>
    </w:p>
    <w:p>
      <w:pPr>
        <w:pStyle w:val="ListBullet"/>
      </w:pPr>
      <w:r>
        <w:t>Confirm publish cutoff and major-replan thresholds.</w:t>
      </w:r>
    </w:p>
    <w:p>
      <w:pPr>
        <w:pStyle w:val="ListBullet"/>
      </w:pPr>
      <w:r>
        <w:t>Confirm break and max-shift assumptions.</w:t>
      </w:r>
    </w:p>
    <w:p>
      <w:pPr>
        <w:pStyle w:val="ListBullet"/>
      </w:pPr>
      <w:r>
        <w:t>Confirm zone / vehicle-class coverage rules.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