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Stage02 Workforce Availability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Capture the worker roster, roles, qualifications, and coded availability for the service day.</w:t>
      </w:r>
    </w:p>
    <w:p>
      <w:pPr>
        <w:pStyle w:val="Heading1"/>
      </w:pPr>
      <w:r>
        <w:t>Privacy rule</w:t>
      </w:r>
    </w:p>
    <w:p>
      <w:r>
        <w:t>Store only coded leave/absence types. Do not record medical or disciplinary detail.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all workers have a role and home hub.</w:t>
      </w:r>
    </w:p>
    <w:p>
      <w:pPr>
        <w:pStyle w:val="ListBullet"/>
      </w:pPr>
      <w:r>
        <w:t>Confirm vehicle class / skill tags are current.</w:t>
      </w:r>
    </w:p>
    <w:p>
      <w:pPr>
        <w:pStyle w:val="ListBullet"/>
      </w:pPr>
      <w:r>
        <w:t>Confirm leave codes are coded and non-sensitive.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