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Stage04 Capacity Plan Document Example</w:t>
      </w:r>
    </w:p>
    <w:p>
      <w:r>
        <w:rPr>
          <w:i/>
        </w:rPr>
        <w:t>FlashDrop Logistics GmbH | COMPLETED synthetic example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Stage04_Capacity_Plan-DOC-001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SD-2026-03-04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flashdrop-demo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berlin-east-hub</w:t>
            </w:r>
          </w:p>
        </w:tc>
      </w:tr>
    </w:tbl>
    <w:p>
      <w:pPr>
        <w:pStyle w:val="Heading1"/>
      </w:pPr>
      <w:r>
        <w:t>Scenario</w:t>
      </w:r>
    </w:p>
    <w:p>
      <w:r>
        <w:t>BE-EAST is short one courier equivalent during the midday spike; float coverage is proposed.</w:t>
      </w:r>
    </w:p>
    <w:p>
      <w:pPr>
        <w:pStyle w:val="Heading1"/>
      </w:pPr>
      <w:r>
        <w:t>Escalation</w:t>
      </w:r>
    </w:p>
    <w:p>
      <w:r>
        <w:t>No contractor activation required in the example, so Stage06 can still publish with supervisor approval.</w:t>
      </w:r>
    </w:p>
    <w:p>
      <w:pPr>
        <w:pStyle w:val="Heading1"/>
      </w:pPr>
      <w:r>
        <w:t>Checklist</w:t>
      </w:r>
    </w:p>
    <w:p>
      <w:pPr>
        <w:pStyle w:val="ListBullet"/>
      </w:pPr>
      <w:r>
        <w:t>Quantify courier-hour gaps.</w:t>
      </w:r>
    </w:p>
    <w:p>
      <w:pPr>
        <w:pStyle w:val="ListBullet"/>
      </w:pPr>
      <w:r>
        <w:t>Quantify vehicle-class gaps.</w:t>
      </w:r>
    </w:p>
    <w:p>
      <w:pPr>
        <w:pStyle w:val="ListBullet"/>
      </w:pPr>
      <w:r>
        <w:t>Mark any issue needing approval or escalation.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