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Stage04 Capacity Plan Document Template</w:t>
      </w:r>
    </w:p>
    <w:p>
      <w:r>
        <w:rPr>
          <w:i/>
        </w:rPr>
        <w:t>FlashDrop Logistics GmbH | EMPTY template</w:t>
      </w:r>
    </w:p>
    <w:p>
      <w:pPr>
        <w:pStyle w:val="Heading1"/>
      </w:pPr>
      <w:r>
        <w:t>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 ID</w:t>
            </w:r>
          </w:p>
        </w:tc>
        <w:tc>
          <w:tcPr>
            <w:tcW w:type="dxa" w:w="4320"/>
          </w:tcPr>
          <w:p>
            <w:r>
              <w:t>[Artifact_ID]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[v1.0]</w:t>
            </w:r>
          </w:p>
        </w:tc>
      </w:tr>
      <w:tr>
        <w:tc>
          <w:tcPr>
            <w:tcW w:type="dxa" w:w="4320"/>
          </w:tcPr>
          <w:p>
            <w:r>
              <w:t>ScheduleDateID</w:t>
            </w:r>
          </w:p>
        </w:tc>
        <w:tc>
          <w:tcPr>
            <w:tcW w:type="dxa" w:w="4320"/>
          </w:tcPr>
          <w:p>
            <w:r>
              <w:t>[ScheduleDateID]</w:t>
            </w:r>
          </w:p>
        </w:tc>
      </w:tr>
      <w:tr>
        <w:tc>
          <w:tcPr>
            <w:tcW w:type="dxa" w:w="4320"/>
          </w:tcPr>
          <w:p>
            <w:r>
              <w:t>Tenant ID</w:t>
            </w:r>
          </w:p>
        </w:tc>
        <w:tc>
          <w:tcPr>
            <w:tcW w:type="dxa" w:w="4320"/>
          </w:tcPr>
          <w:p>
            <w:r>
              <w:t>[tenant_id]</w:t>
            </w:r>
          </w:p>
        </w:tc>
      </w:tr>
      <w:tr>
        <w:tc>
          <w:tcPr>
            <w:tcW w:type="dxa" w:w="4320"/>
          </w:tcPr>
          <w:p>
            <w:r>
              <w:t>Domain ID</w:t>
            </w:r>
          </w:p>
        </w:tc>
        <w:tc>
          <w:tcPr>
            <w:tcW w:type="dxa" w:w="4320"/>
          </w:tcPr>
          <w:p>
            <w:r>
              <w:t>[domain_id]</w:t>
            </w:r>
          </w:p>
        </w:tc>
      </w:tr>
    </w:tbl>
    <w:p>
      <w:pPr>
        <w:pStyle w:val="Heading1"/>
      </w:pPr>
      <w:r>
        <w:t>Purpose</w:t>
      </w:r>
    </w:p>
    <w:p>
      <w:r>
        <w:t>Translate the forecast into required courier-hours, backup capacity, and vehicle needs by zone.</w:t>
      </w:r>
    </w:p>
    <w:p>
      <w:pPr>
        <w:pStyle w:val="Heading1"/>
      </w:pPr>
      <w:r>
        <w:t>Outputs</w:t>
      </w:r>
    </w:p>
    <w:p>
      <w:r>
        <w:t>A capacity plan plus explicit gaps/exceptions for supervisor review.</w:t>
      </w:r>
    </w:p>
    <w:p>
      <w:pPr>
        <w:pStyle w:val="Heading1"/>
      </w:pPr>
      <w:r>
        <w:t>Checklist</w:t>
      </w:r>
    </w:p>
    <w:p>
      <w:pPr>
        <w:pStyle w:val="ListBullet"/>
      </w:pPr>
      <w:r>
        <w:t>Quantify courier-hour gaps.</w:t>
      </w:r>
    </w:p>
    <w:p>
      <w:pPr>
        <w:pStyle w:val="ListBullet"/>
      </w:pPr>
      <w:r>
        <w:t>Quantify vehicle-class gaps.</w:t>
      </w:r>
    </w:p>
    <w:p>
      <w:pPr>
        <w:pStyle w:val="ListBullet"/>
      </w:pPr>
      <w:r>
        <w:t>Mark any issue needing approval or escalation.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