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Stage07 Intraday Exception Control Document Template</w:t>
      </w:r>
    </w:p>
    <w:p>
      <w:r>
        <w:rPr>
          <w:i/>
        </w:rPr>
        <w:t>FlashDrop Logistics GmbH | EMPTY template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 ID</w:t>
            </w:r>
          </w:p>
        </w:tc>
        <w:tc>
          <w:tcPr>
            <w:tcW w:type="dxa" w:w="4320"/>
          </w:tcPr>
          <w:p>
            <w:r>
              <w:t>[Artifact_ID]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[v1.0]</w:t>
            </w:r>
          </w:p>
        </w:tc>
      </w:tr>
      <w:tr>
        <w:tc>
          <w:tcPr>
            <w:tcW w:type="dxa" w:w="4320"/>
          </w:tcPr>
          <w:p>
            <w:r>
              <w:t>ScheduleDateID</w:t>
            </w:r>
          </w:p>
        </w:tc>
        <w:tc>
          <w:tcPr>
            <w:tcW w:type="dxa" w:w="4320"/>
          </w:tcPr>
          <w:p>
            <w:r>
              <w:t>[ScheduleDateID]</w:t>
            </w:r>
          </w:p>
        </w:tc>
      </w:tr>
      <w:tr>
        <w:tc>
          <w:tcPr>
            <w:tcW w:type="dxa" w:w="4320"/>
          </w:tcPr>
          <w:p>
            <w:r>
              <w:t>Tenant ID</w:t>
            </w:r>
          </w:p>
        </w:tc>
        <w:tc>
          <w:tcPr>
            <w:tcW w:type="dxa" w:w="4320"/>
          </w:tcPr>
          <w:p>
            <w:r>
              <w:t>[tenant_id]</w:t>
            </w:r>
          </w:p>
        </w:tc>
      </w:tr>
      <w:tr>
        <w:tc>
          <w:tcPr>
            <w:tcW w:type="dxa" w:w="4320"/>
          </w:tcPr>
          <w:p>
            <w:r>
              <w:t>Domain ID</w:t>
            </w:r>
          </w:p>
        </w:tc>
        <w:tc>
          <w:tcPr>
            <w:tcW w:type="dxa" w:w="4320"/>
          </w:tcPr>
          <w:p>
            <w:r>
              <w:t>[domain_id]</w:t>
            </w:r>
          </w:p>
        </w:tc>
      </w:tr>
    </w:tbl>
    <w:p>
      <w:pPr>
        <w:pStyle w:val="Heading1"/>
      </w:pPr>
      <w:r>
        <w:t>Purpose</w:t>
      </w:r>
    </w:p>
    <w:p>
      <w:r>
        <w:t>Capture live-day exceptions, triage actions, escalations, and approved replan deltas.</w:t>
      </w:r>
    </w:p>
    <w:p>
      <w:pPr>
        <w:pStyle w:val="Heading1"/>
      </w:pPr>
      <w:r>
        <w:t>Core rule</w:t>
      </w:r>
    </w:p>
    <w:p>
      <w:r>
        <w:t>Never silently mutate the published schedule; issue explicit replan deltas linked to what they supersede.</w:t>
      </w:r>
    </w:p>
    <w:p>
      <w:pPr>
        <w:pStyle w:val="Heading1"/>
      </w:pPr>
      <w:r>
        <w:t>Checklist</w:t>
      </w:r>
    </w:p>
    <w:p>
      <w:pPr>
        <w:pStyle w:val="ListBullet"/>
      </w:pPr>
      <w:r>
        <w:t>Every incident must have a type, owner, and status.</w:t>
      </w:r>
    </w:p>
    <w:p>
      <w:pPr>
        <w:pStyle w:val="ListBullet"/>
      </w:pPr>
      <w:r>
        <w:t>Major replans need approval reference before becoming official.</w:t>
      </w:r>
    </w:p>
    <w:p>
      <w:pPr>
        <w:pStyle w:val="ListBullet"/>
      </w:pPr>
      <w:r>
        <w:t>Keep route-level and worker-level impacts explicit.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