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TITULO:  Cómo la IA aprende y resuelve problemas  "¿Puede un robot ser un ayudante?"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5897880" cy="696675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69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Grupo objetivo: 4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7 años 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Duración de la actividad: 2,5–3 horas (en varias sesiones)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Objetivo clave de aprendizaje: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Comprender cómo se utiliza la IA en la vida cotidiana y por qué todavía necesita personas. Esta sesión generará curiosidad, apoyará el pensamiento imaginativo y ayudará a los estudiantes a comenzar a ver a la IA como una herramienta útil  no como una máquina mágica o aterradora. Elimina la complejidad del "aprendizaje automático" y se centra en el juego de rol, la narración, la observación y la creatividad.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after="200" w:before="0" w:lineRule="auto"/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del aprendizaje: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d3dzl2c2yz7d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Para los estudiantes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comenzarán a entender lo que es un robot o un asistente de IA.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aprenderán que la IA puede ayudar con ciertas tareas pero todavía necesita personas.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explorarán ejemplos reales de que la IA es útil.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reflexionarán sobre la diferencia entre los humanos y las máquinas.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widowControl w:val="0"/>
              <w:spacing w:after="80" w:before="280" w:line="360" w:lineRule="auto"/>
              <w:ind w:left="720" w:hanging="360"/>
              <w:rPr>
                <w:color w:val="000000"/>
                <w:sz w:val="26"/>
                <w:szCs w:val="26"/>
              </w:rPr>
            </w:pPr>
            <w:bookmarkStart w:colFirst="0" w:colLast="0" w:name="_heading=h.c8u2cmwa8u8e" w:id="2"/>
            <w:bookmarkEnd w:id="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Para los maestros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maestros ganarán confianza en explicar la IA utilizando ejemplos familiares y amigables para los niños.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profesores desarrollarán habilidades para dirigir discusiones abiertas sobre tecnología con los jóvenes alumnos.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profesores recibirán apoyo con actividades listas para su uso y guiones estructurados.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profesores estarán equipados para vincular los temas de la IA con la creatividad, la resolución de problemas y la reflexión personal.</w:t>
            </w:r>
          </w:p>
          <w:tbl>
            <w:tblPr>
              <w:tblStyle w:val="Table3"/>
              <w:tblW w:w="841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000000" w:space="0" w:sz="0" w:val="nil"/>
                    <w:bottom w:color="76923c" w:space="0" w:sz="1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Dimensión europea / conexión con Erasmus+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after="240" w:befor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Este escenario apoya el desarrollo de la alfabetización digital temprana, el pensamiento crítico y la preparación para el futuro en consonancia con las Erasmus+ objetivos. Al explorar la IA como una herramienta útil con limitaciones, los estudiantes comienzan a entender tanto la innovación como la responsabilidad. El proyecto también fomenta el intercambio cultural, la creatividad y la inclusión de las voces de los niños en las conversaciones sobre tecnología. Proporciona a los docentes de toda Europa un acceso accesible a la educación en 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99ff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Recursos y herramientas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24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Tarjetas imprimibles: El robot adivina lo correcto, El robot adivina lo incorrecto, La gente sabe mejor</w:t>
                    <w:br w:type="textWrapping"/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Robot de marionetas o juguetes (o imagen)</w:t>
                  </w:r>
                </w:p>
                <w:p w:rsidR="00000000" w:rsidDel="00000000" w:rsidP="00000000" w:rsidRDefault="00000000" w:rsidRPr="00000000" w14:paraId="00000025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Corto video de robots en la vida cotidiana (sugere a continuación)</w:t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Papel de dibujo y lápices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Clips de audio o fotos de IA en acción (por ejemplo: robots de vacío, Alexa, luces inteligentes)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Opcional: dispositivos de juguete (por ejemplo: Telefónicos de radio, teléfonos de juguete, robot de vacío de juguete)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Proyector o pantalla grande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numPr>
                      <w:ilvl w:val="0"/>
                      <w:numId w:val="2"/>
                    </w:numPr>
                    <w:spacing w:after="240" w:before="0" w:beforeAutospacing="0" w:line="36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Cuento impresible o guión de maestro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Métodos de trabajo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24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Cuento y discusión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Juego de rol guiado</w:t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Dibujo y creatividad</w:t>
                  </w:r>
                </w:p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Reflexión en grupo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ejemplos conocidos de la tecnología cotidiana</w:t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0" w:beforeAutospacing="0" w:line="360" w:lineRule="auto"/>
                    <w:ind w:left="720" w:right="0" w:hanging="360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accesorios o marionetas para el aprendizaje imaginativo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after="0" w:before="0" w:line="240" w:lineRule="auto"/>
                    <w:jc w:val="left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after="200" w:before="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38.582677165356" w:type="dxa"/>
        <w:jc w:val="center"/>
        <w:tblLayout w:type="fixed"/>
        <w:tblLook w:val="0400"/>
      </w:tblPr>
      <w:tblGrid>
        <w:gridCol w:w="2834.645669291339"/>
        <w:gridCol w:w="2834.645669291339"/>
        <w:gridCol w:w="2834.645669291339"/>
        <w:gridCol w:w="2834.645669291339"/>
        <w:tblGridChange w:id="0">
          <w:tblGrid>
            <w:gridCol w:w="2834.645669291339"/>
            <w:gridCol w:w="2834.645669291339"/>
            <w:gridCol w:w="2834.645669291339"/>
            <w:gridCol w:w="2834.645669291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3F">
            <w:pPr>
              <w:keepNext w:val="1"/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0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1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42">
            <w:pPr>
              <w:widowControl w:val="0"/>
              <w:spacing w:after="200" w:before="0" w:lineRule="auto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</w:tcPr>
          <w:p w:rsidR="00000000" w:rsidDel="00000000" w:rsidP="00000000" w:rsidRDefault="00000000" w:rsidRPr="00000000" w14:paraId="00000043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maestro contará o leerá un cuento corto: El robot que se equivocó.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invitará a los estudiantes a discutir lo que el robot hizo mal y cómo una persona podría ayudar.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presentará la idea: ¡Los robots pueden ayudar, pero no piensan como los humanos!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</w:tcPr>
          <w:p w:rsidR="00000000" w:rsidDel="00000000" w:rsidP="00000000" w:rsidRDefault="00000000" w:rsidRPr="00000000" w14:paraId="00000047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20–30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 un breve video de robots o ayudantes de IA en la vida real: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preguntará: ¿Dónde crees que los robots ayudan a la gente? ¿Qué pueden hacer?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verán tarjetas o imágenes que muestran IA de la vida real (por ejemplo: robot de vacío, robot de entrega, robot del hospital, traductor).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clase votará: ¿Puede un robot hacer esto bien, o todavía necesita a una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04C">
            <w:pPr>
              <w:widowControl w:val="0"/>
              <w:spacing w:after="200" w:before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30–40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pondrá cartas con diferentes trabajos o acciones (por ejemplo: Pintar el pelo, limpiar el suelo, contar una historia, abrazar, conducir un coche, preguntarte cómo te sientes.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¿Los estudiantes trabajarán en parejas o grupos pequeños para decidir si la tarea es mejor para un robot, una persona, un robot y una persona juntos?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dibujarán su propio robot ayudante, mostrando: lo que ayuda, lo que no puede hacer bien, cómo la gente todavía puede ayudar al robot.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before="0" w:lineRule="auto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1"/>
                <w:color w:val="0099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Tiempo del círculo de clase: ¿Qué hizo tu robot?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compartirán sus dibujos y explicarán con qué la gente todavía necesita ayudar al robot.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escribirá las reflexiones de los niños en papel grande o Padlet¿Con qué necesitan ayuda los robots? ¿Los robots pueden hacer todo? ¿Qué es lo que mejor hacen las personas?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8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1u21r8umdjfz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1: Historia  El robot que se equivocó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Objetivo: Incitar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curiosidad e introducir la idea de que los robots (IA) pueden ayudar pero no siempre hacen las cosas bien sin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profesor le dirá: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Reúna a la clase en la alfombra o en el área de lectura.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Mantenga una marioneta, un juguete suave o una imagen de </w:t>
              <w:br w:type="textWrapping"/>
              <w:br w:type="textWrapping"/>
              <w:t xml:space="preserve">un robot y diga: ¡Hoy vamos a encontrar a un robot que quiere ayudar a la gente!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Leer el cuento El robot que se equivocó  Ejemplo de la historia: </w:t>
              <w:br w:type="textWrapping"/>
              <w:br w:type="textWrapping"/>
              <w:t xml:space="preserve">El robot fue pedido para limpiar la cocina. Usó champú en lugar de líquido de lavado. ¡Pensó que era lo mismo! Luego puso la cubierta en el congelador y la leche en el armario. ¿Por qué crees que se ha confundido?</w:t>
              <w:br w:type="textWrapping"/>
              <w:br w:type="textWrapping"/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Pausa para hacer preguntas mientras vas:</w:t>
              <w:br w:type="textWrapping"/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¿Por qué el robot se equivocó?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harías si vieras esto suceder?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¿Cómo saben las personas mejor?</w:t>
              <w:br w:type="textWrapping"/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Di: </w:t>
              <w:br w:type="textWrapping"/>
              <w:t xml:space="preserve">"Los robots pueden ayudar, pero no entienden las cosas como los humanos. Necesitan ayuda para aprender.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pacing w:after="80" w:before="280" w:line="240" w:lineRule="auto"/>
              <w:ind w:left="0" w:firstLine="0"/>
              <w:rPr>
                <w:sz w:val="24"/>
                <w:szCs w:val="24"/>
              </w:rPr>
            </w:pPr>
            <w:bookmarkStart w:colFirst="0" w:colLast="0" w:name="_heading=h.8xqtyckcyk1z" w:id="4"/>
            <w:bookmarkEnd w:id="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2: Explorar verdaderos ayudantes de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profesor le dirá: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Reproduzca un video corto para presentar la idea de IA/robots:</w:t>
              <w:br w:type="textWrapping"/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recomienda:</w:t>
              <w:br w:type="textWrapping"/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2"/>
                <w:numId w:val="4"/>
              </w:numPr>
              <w:spacing w:after="0" w:afterAutospacing="0" w:before="0" w:beforeAutospacing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SciShow Kids: Robots ayudando a los humanos (4 minutos)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Pregúntale a la clase: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¿Has visto algo así en casa o en una tienda?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¿Tienes un altavoz inteligente en casa? ¿Qué hace?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¿Has visto un robot aspirador?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Muestre una selección de tarjetas impresas o imágenes de diferentes herramientas de IA (por ejemplo: robot de vacío, altavoz inteligente, brazo robótico en una fábrica, chatbot hablando).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Pida a los niños que voten o den un pulgar </w:t>
              <w:br w:type="textWrapping"/>
              <w:br w:type="textWrapping"/>
              <w:t xml:space="preserve">hacia arriba o hacia abajo: ¿Puede este robot </w:t>
              <w:br w:type="textWrapping"/>
              <w:t xml:space="preserve">hacer bien este trabajo? ¿Todavía necesita una persona para ayudarlo o decirle qué hacer?</w:t>
              <w:br w:type="textWrapping"/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Discuta ejemplos sencillos: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robot aspirador puede limpiar  pero ¿sabe dónde están tus calcetines?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68s05mwx5uua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altavoz inteligente puede tocar una canción  pero puede abrazarte?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6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tabs>
                <w:tab w:val="left" w:leader="none" w:pos="0"/>
              </w:tabs>
              <w:spacing w:after="80" w:before="280" w:lineRule="auto"/>
              <w:ind w:left="0" w:firstLine="0"/>
              <w:rPr>
                <w:rFonts w:ascii="Calibri" w:cs="Calibri" w:eastAsia="Calibri" w:hAnsi="Calibri"/>
              </w:rPr>
            </w:pPr>
            <w:bookmarkStart w:colFirst="0" w:colLast="0" w:name="_heading=h.irorni53ia00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Actividad 3: ¿Ajudante robótico o trabajo humano?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Parte A  Ajudante robótico o trabajo humano? </w:t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El profesor le dirá: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Muestre un conjunto de tarjetas de imagen/tareas (por ejemplo: Comienda la habitación, Dá un abrazo, Pinta un cuadro, Respondrá a una pregunta, Diga buenas noches, Lea una historia antes de acostarse, Enciende la luz).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Uno a uno, levanta una tarjeta y </w:t>
              <w:br w:type="textWrapping"/>
              <w:t xml:space="preserve">pregúntale: ¿Quién lo haría mejor? ¿un robot, una persona, o ambos?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Permita que los niños se muevan a las zonas de la habitación marcadas Robot, Person o Both.</w:t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Invite a los niños a explicarles por qué. Soporte con instrucciones: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¿Por qué crees que un robot podría hacer eso?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¿Podría un robot entender lo que sientes?</w:t>
              <w:br w:type="textWrapping"/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1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pasa si el robot comete un error?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1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Repita con varios ejemplos, manteniendo el ritmo para llamar la atención.</w:t>
              <w:br w:type="textWrapping"/>
            </w:r>
          </w:p>
          <w:p w:rsidR="00000000" w:rsidDel="00000000" w:rsidP="00000000" w:rsidRDefault="00000000" w:rsidRPr="00000000" w14:paraId="00000082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Parte B  Tarea de dibujo (15–20 minutos)</w:t>
            </w:r>
          </w:p>
          <w:p w:rsidR="00000000" w:rsidDel="00000000" w:rsidP="00000000" w:rsidRDefault="00000000" w:rsidRPr="00000000" w14:paraId="00000083">
            <w:pPr>
              <w:widowControl w:val="0"/>
              <w:tabs>
                <w:tab w:val="left" w:leader="none" w:pos="0"/>
              </w:tabs>
              <w:spacing w:after="240" w:befor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El profesor le dirá: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¡Ahora </w:t>
              <w:br w:type="textWrapping"/>
              <w:t xml:space="preserve">vas a inventar tu propio robot ayudante!</w:t>
              <w:br w:type="textWrapping"/>
              <w:br w:type="textWrapping"/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Distribuye papel y lápices. Pídales que dibujen un robot que:</w:t>
              <w:br w:type="textWrapping"/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Ayuda a alguien a hacer algo útil (por ejemplo: limpiar, leer, llevar cosas)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Necesita ayuda de una persona para otra cosa (por ejemplo: saber qué limpiar, cómo hablar amablemente)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Preguntas rápidas:</w:t>
              <w:br w:type="textWrapping"/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hace bien tu robot?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1"/>
                <w:numId w:val="6"/>
              </w:numPr>
              <w:tabs>
                <w:tab w:val="left" w:leader="none" w:pos="0"/>
              </w:tabs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¿Con qué necesita ayuda tu robot?</w:t>
              <w:br w:type="textWrapping"/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tabs>
                <w:tab w:val="left" w:leader="none" w:pos="0"/>
              </w:tabs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Permita que los niños compartan su robot con un amigo o con toda la clase.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1338.582677165356" w:type="dxa"/>
        <w:jc w:val="center"/>
        <w:tblLayout w:type="fixed"/>
        <w:tblLook w:val="0400"/>
      </w:tblPr>
      <w:tblGrid>
        <w:gridCol w:w="11338.582677165356"/>
        <w:tblGridChange w:id="0">
          <w:tblGrid>
            <w:gridCol w:w="11338.582677165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D">
            <w:pPr>
              <w:widowControl w:val="0"/>
              <w:spacing w:after="20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ReflectionLos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estudiantes completarán individualmente la actividad de reflexión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respondiendo a preguntas como: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"¿Cuál fue lo más sorprendente que aprendiste sobre la IA hoy?"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"¿Cómo crees que la IA afectará tu futuro trabajo?"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"¿Crees que la IA siempre dice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verdad?"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120" w:before="0" w:line="276" w:lineRule="auto"/>
              <w:ind w:left="709" w:right="0" w:hanging="28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"¿Cómo podríamos usar la IA para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resolver algunos problemas en tu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escuela?"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breve lista de verificación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rubrica adjunta al escenario (Att 3.1)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Discusión de clase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escenario concluirá con una discusión abierta en clase, invitando a los estudiantes a compartir sus reflexiones sobre la actividad digital y sus autoevaluaciones. Las preguntas restantes serán respondidas y se reforzarán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 clave sobre el potencial y el uso responsable de la IA, haciendo hincapié en la seguridad, el medio ambiente y la ética.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heading=h.yvyfu9f4ii7i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Adición opcional: Actividad de la caja de memoria (continúa durante toda la semana)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día, los estudiantes agregan un dibujo, un objeto o una foto a una caja de memoria de la clase etiquetada: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Cómo ayudó la IA hoy (por ejemplo: el robot de aspirador en casa, Google Mapa, llamada por video)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viernes, revisarán y reflejarán: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notamos?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¿Confiamos en la IA para todo?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¿Quién hace las reglas para los robots?</w:t>
      </w:r>
    </w:p>
    <w:p w:rsidR="00000000" w:rsidDel="00000000" w:rsidP="00000000" w:rsidRDefault="00000000" w:rsidRPr="00000000" w14:paraId="000000A0">
      <w:pPr>
        <w:spacing w:after="20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3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680"/>
        <w:tab w:val="right" w:leader="none" w:pos="9360"/>
      </w:tabs>
      <w:spacing w:after="0" w:before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tabs>
        <w:tab w:val="center" w:leader="none" w:pos="4680"/>
        <w:tab w:val="right" w:leader="none" w:pos="9360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widowControl w:val="1"/>
      <w:suppressAutoHyphens w:val="1"/>
      <w:bidi w:val="0"/>
      <w:spacing w:after="200" w:before="0" w:line="276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Heading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ZaglavljeChar" w:customStyle="1">
    <w:name w:val="Zaglavlje Char"/>
    <w:basedOn w:val="DefaultParagraphFont"/>
    <w:link w:val="Header"/>
    <w:uiPriority w:val="99"/>
    <w:qFormat w:val="1"/>
    <w:rsid w:val="00E618BF"/>
    <w:rPr/>
  </w:style>
  <w:style w:type="character" w:styleId="PodnojeChar" w:customStyle="1">
    <w:name w:val="Podnožje Char"/>
    <w:basedOn w:val="DefaultParagraphFont"/>
    <w:link w:val="Footer"/>
    <w:uiPriority w:val="99"/>
    <w:qFormat w:val="1"/>
    <w:rsid w:val="00E618BF"/>
    <w:rPr/>
  </w:style>
  <w:style w:type="character" w:styleId="Naslov1Char" w:customStyle="1">
    <w:name w:val="Naslov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PodnaslovChar" w:customStyle="1">
    <w:name w:val="Podnaslov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TijelotekstaChar" w:customStyle="1">
    <w:name w:val="Tijelo teksta Char"/>
    <w:basedOn w:val="DefaultParagraphFont"/>
    <w:uiPriority w:val="99"/>
    <w:qFormat w:val="1"/>
    <w:rsid w:val="00AA1D8D"/>
    <w:rPr/>
  </w:style>
  <w:style w:type="character" w:styleId="Tijeloteksta2Char" w:customStyle="1">
    <w:name w:val="Tijelo teksta 2 Char"/>
    <w:basedOn w:val="DefaultParagraphFont"/>
    <w:link w:val="BodyText2"/>
    <w:uiPriority w:val="99"/>
    <w:qFormat w:val="1"/>
    <w:rsid w:val="00AA1D8D"/>
    <w:rPr/>
  </w:style>
  <w:style w:type="character" w:styleId="Tijeloteksta3Char" w:customStyle="1">
    <w:name w:val="Tijelo teksta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TekstmakronaredbeChar" w:customStyle="1">
    <w:name w:val="Tekst makronaredbe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CitatChar" w:customStyle="1">
    <w:name w:val="Citat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NaglaencitatChar" w:customStyle="1">
    <w:name w:val="Naglašen citat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InternetLink">
    <w:name w:val="Hyperlink"/>
    <w:basedOn w:val="DefaultParagraphFont"/>
    <w:uiPriority w:val="99"/>
    <w:unhideWhenUsed w:val="1"/>
    <w:rsid w:val="008210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8210AE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Noto Sans" w:hAnsi="Liberation Sans"/>
      <w:sz w:val="28"/>
      <w:szCs w:val="28"/>
    </w:rPr>
  </w:style>
  <w:style w:type="paragraph" w:styleId="TextBody">
    <w:name w:val="Body Text"/>
    <w:basedOn w:val="Normal"/>
    <w:link w:val="Tijeloteksta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Title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val="single"/>
      </w:pBdr>
      <w:spacing w:after="300" w:before="0" w:line="240" w:lineRule="auto"/>
      <w:contextualSpacing w:val="1"/>
    </w:pPr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Zaglavl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Podnoje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Cambria" w:eastAsia="Cambria" w:hAnsi="Cambria"/>
      <w:color w:val="auto"/>
      <w:kern w:val="0"/>
      <w:sz w:val="22"/>
      <w:szCs w:val="22"/>
      <w:lang w:bidi="ar-SA" w:eastAsia="hr-HR" w:val="en-US"/>
    </w:rPr>
  </w:style>
  <w:style w:type="paragraph" w:styleId="Subtitle">
    <w:name w:val="Subtitle"/>
    <w:basedOn w:val="Normal"/>
    <w:next w:val="Normal"/>
    <w:link w:val="PodnaslovChar"/>
    <w:uiPriority w:val="11"/>
    <w:qFormat w:val="1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Tijeloteksta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Tijeloteksta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Bullet4">
    <w:name w:val="List Bullet 4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tabs>
        <w:tab w:val="left" w:leader="none" w:pos="720"/>
      </w:tabs>
      <w:spacing w:after="200" w:before="0"/>
      <w:ind w:left="720" w:hanging="72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Tekstmakronaredbe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Cambria" w:eastAsia="Cambria" w:hAnsi="Courier"/>
      <w:color w:val="auto"/>
      <w:kern w:val="0"/>
      <w:sz w:val="20"/>
      <w:szCs w:val="20"/>
      <w:lang w:bidi="ar-SA" w:eastAsia="hr-HR" w:val="en-US"/>
    </w:rPr>
  </w:style>
  <w:style w:type="paragraph" w:styleId="Quote">
    <w:name w:val="Quote"/>
    <w:basedOn w:val="Normal"/>
    <w:next w:val="Normal"/>
    <w:link w:val="Citat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NormalWeb">
    <w:name w:val="Normal (Web)"/>
    <w:basedOn w:val="Normal"/>
    <w:uiPriority w:val="99"/>
    <w:unhideWhenUsed w:val="1"/>
    <w:qFormat w:val="1"/>
    <w:rsid w:val="008630A4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Obinatablica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R5Jg3-F5C3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qikEwBhPJnGLRGrX3mh+GP4sw==">CgMxLjAyDmgudDg2Y2xobjR4dWhjMg5oLmQzZHpsMmMyeXo3ZDIOaC5jOHUyY213YTh1OGUyDmguMXUyMXI4dW1kamZ6Mg5oLjh4cXR5Y2tjeWsxejIOaC42OHMwNW13eDV1dWEyDmguNjhzMDVtd3g1dXVhMg5oLjY4czA1bXd4NXV1YTIOaC42OHMwNW13eDV1dWEyDmguNjhzMDVtd3g1dXVhMg5oLjY4czA1bXd4NXV1YTIOaC42OHMwNW13eDV1dWEyDmguNjhzMDVtd3g1dXVhMg5oLjY4czA1bXd4NXV1YTIOaC42OHMwNW13eDV1dWEyDmguNjhzMDVtd3g1dXVhMg5oLjY4czA1bXd4NXV1YTIOaC42OHMwNW13eDV1dWEyDmguaXJvcm5pNTNpYTAwMg5oLnl2eWZ1OWY0aWk3aTgAciExQjdOb0hSNmdKV0lxc2VRZ1JqSjRYeVdlMm91OThkc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